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pPr>
      <w:r>
        <w:drawing>
          <wp:inline distT="0" distB="0" distL="0" distR="0">
            <wp:extent cx="6115050" cy="3438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115050" cy="3438525"/>
                    </a:xfrm>
                    <a:prstGeom prst="rect">
                      <a:avLst/>
                    </a:prstGeom>
                  </pic:spPr>
                </pic:pic>
              </a:graphicData>
            </a:graphic>
          </wp:inline>
        </w:drawing>
      </w:r>
    </w:p>
    <w:p>
      <w:pPr>
        <w:spacing w:after="120"/>
      </w:pPr>
      <w:r>
        <w:rPr>
          <w:rFonts w:ascii="Arial" w:cs="Arial" w:eastAsia="Arial" w:hAnsi="Arial"/>
          <w:b/>
          <w:bCs/>
          <w:color w:val="0AA5BF"/>
          <w:sz w:val="30"/>
          <w:szCs w:val="30"/>
        </w:rPr>
        <w:t xml:space="preserve">CYBER</w:t>
      </w:r>
      <w:r>
        <w:rPr>
          <w:rFonts w:ascii="Arial" w:cs="Arial" w:eastAsia="Arial" w:hAnsi="Arial"/>
          <w:b/>
          <w:bCs/>
          <w:color w:val="E0207A"/>
          <w:sz w:val="30"/>
          <w:szCs w:val="30"/>
        </w:rPr>
        <w:t xml:space="preserve">HOOD</w:t>
      </w:r>
    </w:p>
    <w:p>
      <w:pPr>
        <w:spacing w:after="160"/>
      </w:pPr>
      <w:r>
        <w:rPr>
          <w:rFonts w:ascii="Arial" w:cs="Arial" w:eastAsia="Arial" w:hAnsi="Arial"/>
          <w:b/>
          <w:bCs/>
          <w:color w:val="1B1530"/>
          <w:sz w:val="64"/>
          <w:szCs w:val="64"/>
        </w:rPr>
        <w:t xml:space="preserve">CYBERHOOD Genesis Economy</w:t>
      </w:r>
    </w:p>
    <w:p>
      <w:pPr>
        <w:spacing w:after="480"/>
      </w:pPr>
      <w:r>
        <w:rPr>
          <w:rFonts w:ascii="Arial" w:cs="Arial" w:eastAsia="Arial" w:hAnsi="Arial"/>
          <w:color w:val="2B1F55"/>
          <w:sz w:val="30"/>
          <w:szCs w:val="30"/>
        </w:rPr>
        <w:t xml:space="preserve">The $CYBERHOOD token, the Genesis NFTs and the HoodHook on Uniswap v4</w:t>
      </w:r>
    </w:p>
    <w:p>
      <w:pPr>
        <w:spacing w:after="60"/>
      </w:pPr>
      <w:r>
        <w:rPr>
          <w:rFonts w:ascii="Arial" w:cs="Arial" w:eastAsia="Arial" w:hAnsi="Arial"/>
          <w:b/>
          <w:bCs/>
          <w:color w:val="E0207A"/>
          <w:sz w:val="22"/>
          <w:szCs w:val="22"/>
        </w:rPr>
        <w:t xml:space="preserve">Litepaper v2.0 · Draft for review</w:t>
      </w:r>
    </w:p>
    <w:p>
      <w:pPr>
        <w:spacing w:after="360"/>
      </w:pPr>
      <w:r>
        <w:rPr>
          <w:rFonts w:ascii="Arial" w:cs="Arial" w:eastAsia="Arial" w:hAnsi="Arial"/>
          <w:color w:val="5E5876"/>
          <w:sz w:val="22"/>
          <w:szCs w:val="22"/>
        </w:rPr>
        <w:t xml:space="preserve">October 2026</w:t>
      </w:r>
    </w:p>
    <w:p>
      <w:pPr>
        <w:pBdr>
          <w:left w:val="single" w:color="E0207A" w:sz="24" w:space="8"/>
        </w:pBdr>
        <w:shd w:fill="FDEAF3" w:color="auto" w:val="clear"/>
        <w:spacing w:after="200" w:before="120" w:line="288"/>
        <w:ind w:left="160" w:right="120"/>
      </w:pPr>
      <w:r>
        <w:rPr>
          <w:rFonts w:ascii="Arial" w:cs="Arial" w:eastAsia="Arial" w:hAnsi="Arial"/>
          <w:color w:val="1B1530"/>
          <w:sz w:val="19"/>
          <w:szCs w:val="19"/>
        </w:rPr>
        <w:t xml:space="preserve">Not audited. Parameters are proposals and will change after testnet data, audit and legal review.</w:t>
      </w:r>
    </w:p>
    <w:p>
      <w:r>
        <w:br w:type="page"/>
      </w:r>
    </w:p>
    <w:p>
      <w:pPr>
        <w:spacing w:after="200"/>
      </w:pPr>
      <w:r>
        <w:rPr>
          <w:rFonts w:ascii="Arial" w:cs="Arial" w:eastAsia="Arial" w:hAnsi="Arial"/>
          <w:b/>
          <w:bCs/>
          <w:color w:val="1B1530"/>
          <w:sz w:val="36"/>
          <w:szCs w:val="36"/>
        </w:rPr>
        <w:t xml:space="preserve">Contents</w:t>
      </w:r>
    </w:p>
    <w:p>
      <w:pPr>
        <w:spacing w:after="100" w:before="120"/>
        <w:ind w:left="0"/>
      </w:pPr>
      <w:hyperlink w:history="1" w:anchor="b_summary">
        <w:r>
          <w:rPr>
            <w:rFonts w:ascii="Arial" w:cs="Arial" w:eastAsia="Arial" w:hAnsi="Arial"/>
            <w:b/>
            <w:bCs/>
            <w:color w:val="1B1530"/>
            <w:sz w:val="23"/>
            <w:szCs w:val="23"/>
          </w:rPr>
          <w:t xml:space="preserve">1. Summary</w:t>
        </w:r>
      </w:hyperlink>
    </w:p>
    <w:p>
      <w:pPr>
        <w:spacing w:after="100" w:before="120"/>
        <w:ind w:left="0"/>
      </w:pPr>
      <w:hyperlink w:history="1" w:anchor="b_principles">
        <w:r>
          <w:rPr>
            <w:rFonts w:ascii="Arial" w:cs="Arial" w:eastAsia="Arial" w:hAnsi="Arial"/>
            <w:b/>
            <w:bCs/>
            <w:color w:val="1B1530"/>
            <w:sz w:val="23"/>
            <w:szCs w:val="23"/>
          </w:rPr>
          <w:t xml:space="preserve">2. Design principles</w:t>
        </w:r>
      </w:hyperlink>
    </w:p>
    <w:p>
      <w:pPr>
        <w:spacing w:after="100" w:before="120"/>
        <w:ind w:left="0"/>
      </w:pPr>
      <w:hyperlink w:history="1" w:anchor="b_architecture">
        <w:r>
          <w:rPr>
            <w:rFonts w:ascii="Arial" w:cs="Arial" w:eastAsia="Arial" w:hAnsi="Arial"/>
            <w:b/>
            <w:bCs/>
            <w:color w:val="1B1530"/>
            <w:sz w:val="23"/>
            <w:szCs w:val="23"/>
          </w:rPr>
          <w:t xml:space="preserve">3. Architecture</w:t>
        </w:r>
      </w:hyperlink>
    </w:p>
    <w:p>
      <w:pPr>
        <w:spacing w:after="100" w:before="120"/>
        <w:ind w:left="0"/>
      </w:pPr>
      <w:hyperlink w:history="1" w:anchor="b_v4">
        <w:r>
          <w:rPr>
            <w:rFonts w:ascii="Arial" w:cs="Arial" w:eastAsia="Arial" w:hAnsi="Arial"/>
            <w:b/>
            <w:bCs/>
            <w:color w:val="1B1530"/>
            <w:sz w:val="23"/>
            <w:szCs w:val="23"/>
          </w:rPr>
          <w:t xml:space="preserve">4. Why a Uniswap v4 hook</w:t>
        </w:r>
      </w:hyperlink>
    </w:p>
    <w:p>
      <w:pPr>
        <w:spacing w:after="100" w:before="120"/>
        <w:ind w:left="0"/>
      </w:pPr>
      <w:hyperlink w:history="1" w:anchor="b_hook">
        <w:r>
          <w:rPr>
            <w:rFonts w:ascii="Arial" w:cs="Arial" w:eastAsia="Arial" w:hAnsi="Arial"/>
            <w:b/>
            <w:bCs/>
            <w:color w:val="1B1530"/>
            <w:sz w:val="23"/>
            <w:szCs w:val="23"/>
          </w:rPr>
          <w:t xml:space="preserve">5. The HoodHook</w:t>
        </w:r>
      </w:hyperlink>
    </w:p>
    <w:p>
      <w:pPr>
        <w:spacing w:after="40" w:before="0"/>
        <w:ind w:left="360"/>
      </w:pPr>
      <w:hyperlink w:history="1" w:anchor="b_fee">
        <w:r>
          <w:rPr>
            <w:rFonts w:ascii="Arial" w:cs="Arial" w:eastAsia="Arial" w:hAnsi="Arial"/>
            <w:b w:val="false"/>
            <w:bCs w:val="false"/>
            <w:color w:val="5E5876"/>
            <w:sz w:val="20"/>
            <w:szCs w:val="20"/>
          </w:rPr>
          <w:t xml:space="preserve">5.1 Dynamic LP fee</w:t>
        </w:r>
      </w:hyperlink>
    </w:p>
    <w:p>
      <w:pPr>
        <w:spacing w:after="40" w:before="0"/>
        <w:ind w:left="360"/>
      </w:pPr>
      <w:hyperlink w:history="1" w:anchor="b_protocol">
        <w:r>
          <w:rPr>
            <w:rFonts w:ascii="Arial" w:cs="Arial" w:eastAsia="Arial" w:hAnsi="Arial"/>
            <w:b w:val="false"/>
            <w:bCs w:val="false"/>
            <w:color w:val="5E5876"/>
            <w:sz w:val="20"/>
            <w:szCs w:val="20"/>
          </w:rPr>
          <w:t xml:space="preserve">5.2 Protocol fee and where it goes</w:t>
        </w:r>
      </w:hyperlink>
    </w:p>
    <w:p>
      <w:pPr>
        <w:spacing w:after="40" w:before="0"/>
        <w:ind w:left="360"/>
      </w:pPr>
      <w:hyperlink w:history="1" w:anchor="b_discount">
        <w:r>
          <w:rPr>
            <w:rFonts w:ascii="Arial" w:cs="Arial" w:eastAsia="Arial" w:hAnsi="Arial"/>
            <w:b w:val="false"/>
            <w:bCs w:val="false"/>
            <w:color w:val="5E5876"/>
            <w:sz w:val="20"/>
            <w:szCs w:val="20"/>
          </w:rPr>
          <w:t xml:space="preserve">5.3 Genesis holder discount</w:t>
        </w:r>
      </w:hyperlink>
    </w:p>
    <w:p>
      <w:pPr>
        <w:spacing w:after="40" w:before="0"/>
        <w:ind w:left="360"/>
      </w:pPr>
      <w:hyperlink w:history="1" w:anchor="b_xp">
        <w:r>
          <w:rPr>
            <w:rFonts w:ascii="Arial" w:cs="Arial" w:eastAsia="Arial" w:hAnsi="Arial"/>
            <w:b w:val="false"/>
            <w:bCs w:val="false"/>
            <w:color w:val="5E5876"/>
            <w:sz w:val="20"/>
            <w:szCs w:val="20"/>
          </w:rPr>
          <w:t xml:space="preserve">5.4 Swap XP (Hunter Score)</w:t>
        </w:r>
      </w:hyperlink>
    </w:p>
    <w:p>
      <w:pPr>
        <w:spacing w:after="40" w:before="0"/>
        <w:ind w:left="360"/>
      </w:pPr>
      <w:hyperlink w:history="1" w:anchor="b_referral">
        <w:r>
          <w:rPr>
            <w:rFonts w:ascii="Arial" w:cs="Arial" w:eastAsia="Arial" w:hAnsi="Arial"/>
            <w:b w:val="false"/>
            <w:bCs w:val="false"/>
            <w:color w:val="5E5876"/>
            <w:sz w:val="20"/>
            <w:szCs w:val="20"/>
          </w:rPr>
          <w:t xml:space="preserve">5.5 Referral rebate</w:t>
        </w:r>
      </w:hyperlink>
    </w:p>
    <w:p>
      <w:pPr>
        <w:spacing w:after="40" w:before="0"/>
        <w:ind w:left="360"/>
      </w:pPr>
      <w:hyperlink w:history="1" w:anchor="b_guard">
        <w:r>
          <w:rPr>
            <w:rFonts w:ascii="Arial" w:cs="Arial" w:eastAsia="Arial" w:hAnsi="Arial"/>
            <w:b w:val="false"/>
            <w:bCs w:val="false"/>
            <w:color w:val="5E5876"/>
            <w:sz w:val="20"/>
            <w:szCs w:val="20"/>
          </w:rPr>
          <w:t xml:space="preserve">5.6 Launch guard and liquidity lock</w:t>
        </w:r>
      </w:hyperlink>
    </w:p>
    <w:p>
      <w:pPr>
        <w:spacing w:after="40" w:before="0"/>
        <w:ind w:left="360"/>
      </w:pPr>
      <w:hyperlink w:history="1" w:anchor="b_oracle">
        <w:r>
          <w:rPr>
            <w:rFonts w:ascii="Arial" w:cs="Arial" w:eastAsia="Arial" w:hAnsi="Arial"/>
            <w:b w:val="false"/>
            <w:bCs w:val="false"/>
            <w:color w:val="5E5876"/>
            <w:sz w:val="20"/>
            <w:szCs w:val="20"/>
          </w:rPr>
          <w:t xml:space="preserve">5.7 Price oracle for in-game prices</w:t>
        </w:r>
      </w:hyperlink>
    </w:p>
    <w:p>
      <w:pPr>
        <w:spacing w:after="40" w:before="0"/>
        <w:ind w:left="360"/>
      </w:pPr>
      <w:hyperlink w:history="1" w:anchor="b_guilds">
        <w:r>
          <w:rPr>
            <w:rFonts w:ascii="Arial" w:cs="Arial" w:eastAsia="Arial" w:hAnsi="Arial"/>
            <w:b w:val="false"/>
            <w:bCs w:val="false"/>
            <w:color w:val="5E5876"/>
            <w:sz w:val="20"/>
            <w:szCs w:val="20"/>
          </w:rPr>
          <w:t xml:space="preserve">5.8 Guild liquidity vaults</w:t>
        </w:r>
      </w:hyperlink>
    </w:p>
    <w:p>
      <w:pPr>
        <w:spacing w:after="100" w:before="120"/>
        <w:ind w:left="0"/>
      </w:pPr>
      <w:hyperlink w:history="1" w:anchor="b_genesis">
        <w:r>
          <w:rPr>
            <w:rFonts w:ascii="Arial" w:cs="Arial" w:eastAsia="Arial" w:hAnsi="Arial"/>
            <w:b/>
            <w:bCs/>
            <w:color w:val="1B1530"/>
            <w:sz w:val="23"/>
            <w:szCs w:val="23"/>
          </w:rPr>
          <w:t xml:space="preserve">6. Genesis NFT collection</w:t>
        </w:r>
      </w:hyperlink>
    </w:p>
    <w:p>
      <w:pPr>
        <w:spacing w:after="100" w:before="120"/>
        <w:ind w:left="0"/>
      </w:pPr>
      <w:hyperlink w:history="1" w:anchor="b_token">
        <w:r>
          <w:rPr>
            <w:rFonts w:ascii="Arial" w:cs="Arial" w:eastAsia="Arial" w:hAnsi="Arial"/>
            <w:b/>
            <w:bCs/>
            <w:color w:val="1B1530"/>
            <w:sz w:val="23"/>
            <w:szCs w:val="23"/>
          </w:rPr>
          <w:t xml:space="preserve">7. $CYBERHOOD token</w:t>
        </w:r>
      </w:hyperlink>
    </w:p>
    <w:p>
      <w:pPr>
        <w:spacing w:after="100" w:before="120"/>
        <w:ind w:left="0"/>
      </w:pPr>
      <w:hyperlink w:history="1" w:anchor="b_rewards">
        <w:r>
          <w:rPr>
            <w:rFonts w:ascii="Arial" w:cs="Arial" w:eastAsia="Arial" w:hAnsi="Arial"/>
            <w:b/>
            <w:bCs/>
            <w:color w:val="1B1530"/>
            <w:sz w:val="23"/>
            <w:szCs w:val="23"/>
          </w:rPr>
          <w:t xml:space="preserve">8. Player Reward Pool</w:t>
        </w:r>
      </w:hyperlink>
    </w:p>
    <w:p>
      <w:pPr>
        <w:spacing w:after="100" w:before="120"/>
        <w:ind w:left="0"/>
      </w:pPr>
      <w:hyperlink w:history="1" w:anchor="b_launchpad">
        <w:r>
          <w:rPr>
            <w:rFonts w:ascii="Arial" w:cs="Arial" w:eastAsia="Arial" w:hAnsi="Arial"/>
            <w:b/>
            <w:bCs/>
            <w:color w:val="1B1530"/>
            <w:sz w:val="23"/>
            <w:szCs w:val="23"/>
          </w:rPr>
          <w:t xml:space="preserve">9. Season launchpad on Uniswap v4</w:t>
        </w:r>
      </w:hyperlink>
    </w:p>
    <w:p>
      <w:pPr>
        <w:spacing w:after="100" w:before="120"/>
        <w:ind w:left="0"/>
      </w:pPr>
      <w:hyperlink w:history="1" w:anchor="b_flows">
        <w:r>
          <w:rPr>
            <w:rFonts w:ascii="Arial" w:cs="Arial" w:eastAsia="Arial" w:hAnsi="Arial"/>
            <w:b/>
            <w:bCs/>
            <w:color w:val="1B1530"/>
            <w:sz w:val="23"/>
            <w:szCs w:val="23"/>
          </w:rPr>
          <w:t xml:space="preserve">10. Key flows</w:t>
        </w:r>
      </w:hyperlink>
    </w:p>
    <w:p>
      <w:pPr>
        <w:spacing w:after="100" w:before="120"/>
        <w:ind w:left="0"/>
      </w:pPr>
      <w:hyperlink w:history="1" w:anchor="b_security">
        <w:r>
          <w:rPr>
            <w:rFonts w:ascii="Arial" w:cs="Arial" w:eastAsia="Arial" w:hAnsi="Arial"/>
            <w:b/>
            <w:bCs/>
            <w:color w:val="1B1530"/>
            <w:sz w:val="23"/>
            <w:szCs w:val="23"/>
          </w:rPr>
          <w:t xml:space="preserve">11. Security and governance</w:t>
        </w:r>
      </w:hyperlink>
    </w:p>
    <w:p>
      <w:pPr>
        <w:spacing w:after="100" w:before="120"/>
        <w:ind w:left="0"/>
      </w:pPr>
      <w:hyperlink w:history="1" w:anchor="b_roadmap">
        <w:r>
          <w:rPr>
            <w:rFonts w:ascii="Arial" w:cs="Arial" w:eastAsia="Arial" w:hAnsi="Arial"/>
            <w:b/>
            <w:bCs/>
            <w:color w:val="1B1530"/>
            <w:sz w:val="23"/>
            <w:szCs w:val="23"/>
          </w:rPr>
          <w:t xml:space="preserve">12. Roadmap</w:t>
        </w:r>
      </w:hyperlink>
    </w:p>
    <w:p>
      <w:pPr>
        <w:spacing w:after="100" w:before="120"/>
        <w:ind w:left="0"/>
      </w:pPr>
      <w:hyperlink w:history="1" w:anchor="b_parameters">
        <w:r>
          <w:rPr>
            <w:rFonts w:ascii="Arial" w:cs="Arial" w:eastAsia="Arial" w:hAnsi="Arial"/>
            <w:b/>
            <w:bCs/>
            <w:color w:val="1B1530"/>
            <w:sz w:val="23"/>
            <w:szCs w:val="23"/>
          </w:rPr>
          <w:t xml:space="preserve">13. Parameter sheet</w:t>
        </w:r>
      </w:hyperlink>
    </w:p>
    <w:p>
      <w:pPr>
        <w:spacing w:after="100" w:before="120"/>
        <w:ind w:left="0"/>
      </w:pPr>
      <w:hyperlink w:history="1" w:anchor="b_appendix">
        <w:r>
          <w:rPr>
            <w:rFonts w:ascii="Arial" w:cs="Arial" w:eastAsia="Arial" w:hAnsi="Arial"/>
            <w:b/>
            <w:bCs/>
            <w:color w:val="1B1530"/>
            <w:sz w:val="23"/>
            <w:szCs w:val="23"/>
          </w:rPr>
          <w:t xml:space="preserve">Appendix · HoodHook interface sketch</w:t>
        </w:r>
      </w:hyperlink>
    </w:p>
    <w:p>
      <w:r>
        <w:br w:type="page"/>
      </w:r>
    </w:p>
    <w:p>
      <w:pPr>
        <w:sectPr>
          <w:pgSz w:w="11906" w:h="16838" w:orient="portrait"/>
          <w:pgMar w:top="1134" w:right="1134" w:bottom="1134" w:left="1134" w:header="708" w:footer="708" w:gutter="0"/>
          <w:pgNumType/>
          <w:docGrid w:linePitch="360"/>
        </w:sectPr>
      </w:pPr>
    </w:p>
    <w:p>
      <w:pPr>
        <w:pStyle w:val="Heading1"/>
      </w:pPr>
      <w:bookmarkStart w:name="b_summary" w:id="1"/>
      <w:r>
        <w:t xml:space="preserve">1. Summary</w:t>
      </w:r>
      <w:bookmarkEnd w:id="1"/>
    </w:p>
    <w:p>
      <w:pPr>
        <w:spacing w:after="140" w:line="300"/>
      </w:pPr>
      <w:r>
        <w:rPr>
          <w:rFonts w:ascii="Arial" w:cs="Arial" w:eastAsia="Arial" w:hAnsi="Arial"/>
          <w:color w:val="1B1530"/>
          <w:sz w:val="21"/>
          <w:szCs w:val="21"/>
        </w:rPr>
        <w:t xml:space="preserve">CYBERHOOD is a cyberpunk loot-hunting game that runs in the browser. Hunters meet in Neon City, a 3D co-op hub, then step through gates into side-scrolling contracts, a 100 v 100 siege, a 4–10 player raid, kart races and 1 v 1 duels. The game drops </w:t>
      </w:r>
      <w:r>
        <w:rPr>
          <w:rFonts w:ascii="Arial" w:cs="Arial" w:eastAsia="Arial" w:hAnsi="Arial"/>
          <w:b/>
          <w:bCs/>
          <w:color w:val="1B1530"/>
          <w:sz w:val="21"/>
          <w:szCs w:val="21"/>
        </w:rPr>
        <w:t xml:space="preserve">loot, not tokens</w:t>
      </w:r>
      <w:r>
        <w:rPr>
          <w:rFonts w:ascii="Arial" w:cs="Arial" w:eastAsia="Arial" w:hAnsi="Arial"/>
          <w:color w:val="1B1530"/>
          <w:sz w:val="21"/>
          <w:szCs w:val="21"/>
        </w:rPr>
        <w:t xml:space="preserve">: value moves between players through the marketplace, and rewards come from real platform revenue.</w:t>
      </w:r>
    </w:p>
    <w:p>
      <w:pPr>
        <w:spacing w:after="140" w:line="300"/>
      </w:pPr>
      <w:r>
        <w:rPr>
          <w:rFonts w:ascii="Arial" w:cs="Arial" w:eastAsia="Arial" w:hAnsi="Arial"/>
          <w:color w:val="1B1530"/>
          <w:sz w:val="21"/>
          <w:szCs w:val="21"/>
        </w:rPr>
        <w:t xml:space="preserve">Version 2 moves the whole on-chain economy onto </w:t>
      </w:r>
      <w:r>
        <w:rPr>
          <w:rFonts w:ascii="Arial" w:cs="Arial" w:eastAsia="Arial" w:hAnsi="Arial"/>
          <w:b/>
          <w:bCs/>
          <w:color w:val="1B1530"/>
          <w:sz w:val="21"/>
          <w:szCs w:val="21"/>
        </w:rPr>
        <w:t xml:space="preserve">one Uniswap v4 pool with one custom hook, the HoodHook</w:t>
      </w:r>
      <w:r>
        <w:rPr>
          <w:rFonts w:ascii="Arial" w:cs="Arial" w:eastAsia="Arial" w:hAnsi="Arial"/>
          <w:color w:val="1B1530"/>
          <w:sz w:val="21"/>
          <w:szCs w:val="21"/>
        </w:rPr>
        <w:t xml:space="preserve">. Every swap of $CYBERHOOD runs through the hook, which sets a dynamic fee, takes a small protocol fee, and routes it to the Player Reward Pool, buyback and burn, and the pool's own liquidity providers. The same hook gives Genesis NFT holders a fee discount, pays referrers, records swap activity for the Hunter Score and protects the launch from snipers.</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c>
          <w:tcPr>
            <w:tcW w:type="dxa" w:w="3212"/>
            <w:tcBorders>
              <w:top w:val="single" w:color="E0207A" w:sz="12"/>
              <w:left w:val="none" w:color="FFFFFF" w:sz="0"/>
              <w:bottom w:val="none" w:color="FFFFFF" w:sz="0"/>
              <w:right w:val="none" w:color="FFFFFF" w:sz="0"/>
            </w:tcBorders>
            <w:tcMar>
              <w:top w:type="dxa" w:w="120"/>
              <w:left w:type="dxa" w:w="100"/>
              <w:bottom w:type="dxa" w:w="160"/>
              <w:right w:type="dxa" w:w="100"/>
            </w:tcMar>
          </w:tcPr>
          <w:p>
            <w:r>
              <w:rPr>
                <w:rFonts w:ascii="Arial" w:cs="Arial" w:eastAsia="Arial" w:hAnsi="Arial"/>
                <w:b/>
                <w:bCs/>
                <w:color w:val="1B1530"/>
                <w:sz w:val="34"/>
                <w:szCs w:val="34"/>
              </w:rPr>
              <w:t xml:space="preserve">1</w:t>
            </w:r>
          </w:p>
          <w:p>
            <w:r>
              <w:rPr>
                <w:rFonts w:ascii="Arial" w:cs="Arial" w:eastAsia="Arial" w:hAnsi="Arial"/>
                <w:color w:val="5E5876"/>
                <w:sz w:val="17"/>
                <w:szCs w:val="17"/>
              </w:rPr>
              <w:t xml:space="preserve">Uniswap v4 pool · ETH / $CYBERHOOD</w:t>
            </w:r>
          </w:p>
        </w:tc>
        <w:tc>
          <w:tcPr>
            <w:tcW w:type="dxa" w:w="3212"/>
            <w:tcBorders>
              <w:top w:val="single" w:color="E0207A" w:sz="12"/>
              <w:left w:val="none" w:color="FFFFFF" w:sz="0"/>
              <w:bottom w:val="none" w:color="FFFFFF" w:sz="0"/>
              <w:right w:val="none" w:color="FFFFFF" w:sz="0"/>
            </w:tcBorders>
            <w:tcMar>
              <w:top w:type="dxa" w:w="120"/>
              <w:left w:type="dxa" w:w="100"/>
              <w:bottom w:type="dxa" w:w="160"/>
              <w:right w:type="dxa" w:w="100"/>
            </w:tcMar>
          </w:tcPr>
          <w:p>
            <w:r>
              <w:rPr>
                <w:rFonts w:ascii="Arial" w:cs="Arial" w:eastAsia="Arial" w:hAnsi="Arial"/>
                <w:b/>
                <w:bCs/>
                <w:color w:val="1B1530"/>
                <w:sz w:val="34"/>
                <w:szCs w:val="34"/>
              </w:rPr>
              <w:t xml:space="preserve">0.30%</w:t>
            </w:r>
          </w:p>
          <w:p>
            <w:r>
              <w:rPr>
                <w:rFonts w:ascii="Arial" w:cs="Arial" w:eastAsia="Arial" w:hAnsi="Arial"/>
                <w:color w:val="5E5876"/>
                <w:sz w:val="17"/>
                <w:szCs w:val="17"/>
              </w:rPr>
              <w:t xml:space="preserve">Base LP fee, dynamic</w:t>
            </w:r>
          </w:p>
        </w:tc>
        <w:tc>
          <w:tcPr>
            <w:tcW w:type="dxa" w:w="3212"/>
            <w:tcBorders>
              <w:top w:val="single" w:color="E0207A" w:sz="12"/>
              <w:left w:val="none" w:color="FFFFFF" w:sz="0"/>
              <w:bottom w:val="none" w:color="FFFFFF" w:sz="0"/>
              <w:right w:val="none" w:color="FFFFFF" w:sz="0"/>
            </w:tcBorders>
            <w:tcMar>
              <w:top w:type="dxa" w:w="120"/>
              <w:left w:type="dxa" w:w="100"/>
              <w:bottom w:type="dxa" w:w="160"/>
              <w:right w:type="dxa" w:w="100"/>
            </w:tcMar>
          </w:tcPr>
          <w:p>
            <w:r>
              <w:rPr>
                <w:rFonts w:ascii="Arial" w:cs="Arial" w:eastAsia="Arial" w:hAnsi="Arial"/>
                <w:b/>
                <w:bCs/>
                <w:color w:val="1B1530"/>
                <w:sz w:val="34"/>
                <w:szCs w:val="34"/>
              </w:rPr>
              <w:t xml:space="preserve">0.20%</w:t>
            </w:r>
          </w:p>
          <w:p>
            <w:r>
              <w:rPr>
                <w:rFonts w:ascii="Arial" w:cs="Arial" w:eastAsia="Arial" w:hAnsi="Arial"/>
                <w:color w:val="5E5876"/>
                <w:sz w:val="17"/>
                <w:szCs w:val="17"/>
              </w:rPr>
              <w:t xml:space="preserve">HoodHook protocol fee</w:t>
            </w:r>
          </w:p>
        </w:tc>
      </w:tr>
      <w:tr>
        <w:tc>
          <w:tcPr>
            <w:tcW w:type="dxa" w:w="3212"/>
            <w:tcBorders>
              <w:top w:val="single" w:color="E0207A" w:sz="12"/>
              <w:left w:val="none" w:color="FFFFFF" w:sz="0"/>
              <w:bottom w:val="none" w:color="FFFFFF" w:sz="0"/>
              <w:right w:val="none" w:color="FFFFFF" w:sz="0"/>
            </w:tcBorders>
            <w:tcMar>
              <w:top w:type="dxa" w:w="120"/>
              <w:left w:type="dxa" w:w="100"/>
              <w:bottom w:type="dxa" w:w="160"/>
              <w:right w:type="dxa" w:w="100"/>
            </w:tcMar>
          </w:tcPr>
          <w:p>
            <w:r>
              <w:rPr>
                <w:rFonts w:ascii="Arial" w:cs="Arial" w:eastAsia="Arial" w:hAnsi="Arial"/>
                <w:b/>
                <w:bCs/>
                <w:color w:val="1B1530"/>
                <w:sz w:val="34"/>
                <w:szCs w:val="34"/>
              </w:rPr>
              <w:t xml:space="preserve">40%</w:t>
            </w:r>
          </w:p>
          <w:p>
            <w:r>
              <w:rPr>
                <w:rFonts w:ascii="Arial" w:cs="Arial" w:eastAsia="Arial" w:hAnsi="Arial"/>
                <w:color w:val="5E5876"/>
                <w:sz w:val="17"/>
                <w:szCs w:val="17"/>
              </w:rPr>
              <w:t xml:space="preserve">of hook fees to the Player Reward Pool</w:t>
            </w:r>
          </w:p>
        </w:tc>
        <w:tc>
          <w:tcPr>
            <w:tcW w:type="dxa" w:w="3212"/>
            <w:tcBorders>
              <w:top w:val="single" w:color="E0207A" w:sz="12"/>
              <w:left w:val="none" w:color="FFFFFF" w:sz="0"/>
              <w:bottom w:val="none" w:color="FFFFFF" w:sz="0"/>
              <w:right w:val="none" w:color="FFFFFF" w:sz="0"/>
            </w:tcBorders>
            <w:tcMar>
              <w:top w:type="dxa" w:w="120"/>
              <w:left w:type="dxa" w:w="100"/>
              <w:bottom w:type="dxa" w:w="160"/>
              <w:right w:type="dxa" w:w="100"/>
            </w:tcMar>
          </w:tcPr>
          <w:p>
            <w:r>
              <w:rPr>
                <w:rFonts w:ascii="Arial" w:cs="Arial" w:eastAsia="Arial" w:hAnsi="Arial"/>
                <w:b/>
                <w:bCs/>
                <w:color w:val="1B1530"/>
                <w:sz w:val="34"/>
                <w:szCs w:val="34"/>
              </w:rPr>
              <w:t xml:space="preserve">444</w:t>
            </w:r>
          </w:p>
          <w:p>
            <w:r>
              <w:rPr>
                <w:rFonts w:ascii="Arial" w:cs="Arial" w:eastAsia="Arial" w:hAnsi="Arial"/>
                <w:color w:val="5E5876"/>
                <w:sz w:val="17"/>
                <w:szCs w:val="17"/>
              </w:rPr>
              <w:t xml:space="preserve">Genesis NFTs · 33 designs</w:t>
            </w:r>
          </w:p>
        </w:tc>
        <w:tc>
          <w:tcPr>
            <w:tcW w:type="dxa" w:w="3212"/>
            <w:tcBorders>
              <w:top w:val="single" w:color="E0207A" w:sz="12"/>
              <w:left w:val="none" w:color="FFFFFF" w:sz="0"/>
              <w:bottom w:val="none" w:color="FFFFFF" w:sz="0"/>
              <w:right w:val="none" w:color="FFFFFF" w:sz="0"/>
            </w:tcBorders>
            <w:tcMar>
              <w:top w:type="dxa" w:w="120"/>
              <w:left w:type="dxa" w:w="100"/>
              <w:bottom w:type="dxa" w:w="160"/>
              <w:right w:type="dxa" w:w="100"/>
            </w:tcMar>
          </w:tcPr>
          <w:p>
            <w:r>
              <w:rPr>
                <w:rFonts w:ascii="Arial" w:cs="Arial" w:eastAsia="Arial" w:hAnsi="Arial"/>
                <w:b/>
                <w:bCs/>
                <w:color w:val="1B1530"/>
                <w:sz w:val="34"/>
                <w:szCs w:val="34"/>
              </w:rPr>
              <w:t xml:space="preserve">0.01–0.05 ETH</w:t>
            </w:r>
          </w:p>
          <w:p>
            <w:r>
              <w:rPr>
                <w:rFonts w:ascii="Arial" w:cs="Arial" w:eastAsia="Arial" w:hAnsi="Arial"/>
                <w:color w:val="5E5876"/>
                <w:sz w:val="17"/>
                <w:szCs w:val="17"/>
              </w:rPr>
              <w:t xml:space="preserve">Genesis mint price by rarity</w:t>
            </w:r>
          </w:p>
        </w:tc>
      </w:tr>
    </w:tbl>
    <w:p>
      <w:pPr>
        <w:spacing w:after="120"/>
      </w:pPr>
    </w:p>
    <w:p>
      <w:pPr>
        <w:pBdr>
          <w:left w:val="single" w:color="E0207A" w:sz="24" w:space="8"/>
        </w:pBdr>
        <w:shd w:fill="FDEAF3" w:color="auto" w:val="clear"/>
        <w:spacing w:after="200" w:before="120" w:line="288"/>
        <w:ind w:left="160" w:right="120"/>
      </w:pPr>
      <w:r>
        <w:rPr>
          <w:rFonts w:ascii="Arial" w:cs="Arial" w:eastAsia="Arial" w:hAnsi="Arial"/>
          <w:color w:val="1B1530"/>
          <w:sz w:val="19"/>
          <w:szCs w:val="19"/>
        </w:rPr>
        <w:t xml:space="preserve">Rewards follow play activity, never token holdings. Nothing in this document is an offer of securities, a promise of profit or financial advice.</w:t>
      </w:r>
    </w:p>
    <w:p>
      <w:pPr>
        <w:pStyle w:val="Heading1"/>
      </w:pPr>
      <w:bookmarkStart w:name="b_principles" w:id="2"/>
      <w:r>
        <w:t xml:space="preserve">2. Design principles</w:t>
      </w:r>
      <w:bookmarkEnd w:id="2"/>
    </w:p>
    <w:p>
      <w:pPr>
        <w:pStyle w:val="ListParagraph"/>
        <w:numPr>
          <w:ilvl w:val="0"/>
          <w:numId w:val="2"/>
        </w:numPr>
        <w:spacing w:after="80" w:line="288"/>
      </w:pPr>
      <w:r>
        <w:rPr>
          <w:rFonts w:ascii="Arial" w:cs="Arial" w:eastAsia="Arial" w:hAnsi="Arial"/>
          <w:b/>
          <w:bCs/>
          <w:color w:val="1B1530"/>
          <w:sz w:val="21"/>
          <w:szCs w:val="21"/>
        </w:rPr>
        <w:t xml:space="preserve">Loot, not tokens.</w:t>
      </w:r>
      <w:r>
        <w:rPr>
          <w:rFonts w:ascii="Arial" w:cs="Arial" w:eastAsia="Arial" w:hAnsi="Arial"/>
          <w:color w:val="1B1530"/>
          <w:sz w:val="21"/>
          <w:szCs w:val="21"/>
        </w:rPr>
        <w:t xml:space="preserve"> Contracts, raids and sieges drop items. Tokens circulate between players through trades and sinks.</w:t>
      </w:r>
    </w:p>
    <w:p>
      <w:pPr>
        <w:pStyle w:val="ListParagraph"/>
        <w:numPr>
          <w:ilvl w:val="0"/>
          <w:numId w:val="2"/>
        </w:numPr>
        <w:spacing w:after="80" w:line="288"/>
      </w:pPr>
      <w:r>
        <w:rPr>
          <w:rFonts w:ascii="Arial" w:cs="Arial" w:eastAsia="Arial" w:hAnsi="Arial"/>
          <w:b/>
          <w:bCs/>
          <w:color w:val="1B1530"/>
          <w:sz w:val="21"/>
          <w:szCs w:val="21"/>
        </w:rPr>
        <w:t xml:space="preserve">Revenue funds rewards.</w:t>
      </w:r>
      <w:r>
        <w:rPr>
          <w:rFonts w:ascii="Arial" w:cs="Arial" w:eastAsia="Arial" w:hAnsi="Arial"/>
          <w:color w:val="1B1530"/>
          <w:sz w:val="21"/>
          <w:szCs w:val="21"/>
        </w:rPr>
        <w:t xml:space="preserve"> The Player Reward Pool is paid from swap fees, marketplace fees, launchpad fees and sponsorship. No reward depends on minting new tokens.</w:t>
      </w:r>
    </w:p>
    <w:p>
      <w:pPr>
        <w:pStyle w:val="ListParagraph"/>
        <w:numPr>
          <w:ilvl w:val="0"/>
          <w:numId w:val="2"/>
        </w:numPr>
        <w:spacing w:after="80" w:line="288"/>
      </w:pPr>
      <w:r>
        <w:rPr>
          <w:rFonts w:ascii="Arial" w:cs="Arial" w:eastAsia="Arial" w:hAnsi="Arial"/>
          <w:b/>
          <w:bCs/>
          <w:color w:val="1B1530"/>
          <w:sz w:val="21"/>
          <w:szCs w:val="21"/>
        </w:rPr>
        <w:t xml:space="preserve">Activity, not holding.</w:t>
      </w:r>
      <w:r>
        <w:rPr>
          <w:rFonts w:ascii="Arial" w:cs="Arial" w:eastAsia="Arial" w:hAnsi="Arial"/>
          <w:color w:val="1B1530"/>
          <w:sz w:val="21"/>
          <w:szCs w:val="21"/>
        </w:rPr>
        <w:t xml:space="preserve"> Weekly rewards are shared by Hunter Score (square-root weighted, capped per account). Holding $CYBERHOOD earns nothing by itself.</w:t>
      </w:r>
    </w:p>
    <w:p>
      <w:pPr>
        <w:pStyle w:val="ListParagraph"/>
        <w:numPr>
          <w:ilvl w:val="0"/>
          <w:numId w:val="2"/>
        </w:numPr>
        <w:spacing w:after="80" w:line="288"/>
      </w:pPr>
      <w:r>
        <w:rPr>
          <w:rFonts w:ascii="Arial" w:cs="Arial" w:eastAsia="Arial" w:hAnsi="Arial"/>
          <w:b/>
          <w:bCs/>
          <w:color w:val="1B1530"/>
          <w:sz w:val="21"/>
          <w:szCs w:val="21"/>
        </w:rPr>
        <w:t xml:space="preserve">No paid randomness.</w:t>
      </w:r>
      <w:r>
        <w:rPr>
          <w:rFonts w:ascii="Arial" w:cs="Arial" w:eastAsia="Arial" w:hAnsi="Arial"/>
          <w:color w:val="1B1530"/>
          <w:sz w:val="21"/>
          <w:szCs w:val="21"/>
        </w:rPr>
        <w:t xml:space="preserve"> No loot box is sold for money or tokens. Drop rates are public. Nothing random is granted for a swap.</w:t>
      </w:r>
    </w:p>
    <w:p>
      <w:pPr>
        <w:pStyle w:val="ListParagraph"/>
        <w:numPr>
          <w:ilvl w:val="0"/>
          <w:numId w:val="2"/>
        </w:numPr>
        <w:spacing w:after="80" w:line="288"/>
      </w:pPr>
      <w:r>
        <w:rPr>
          <w:rFonts w:ascii="Arial" w:cs="Arial" w:eastAsia="Arial" w:hAnsi="Arial"/>
          <w:b/>
          <w:bCs/>
          <w:color w:val="1B1530"/>
          <w:sz w:val="21"/>
          <w:szCs w:val="21"/>
        </w:rPr>
        <w:t xml:space="preserve">Users can always exit.</w:t>
      </w:r>
      <w:r>
        <w:rPr>
          <w:rFonts w:ascii="Arial" w:cs="Arial" w:eastAsia="Arial" w:hAnsi="Arial"/>
          <w:color w:val="1B1530"/>
          <w:sz w:val="21"/>
          <w:szCs w:val="21"/>
        </w:rPr>
        <w:t xml:space="preserve"> The hook can change fees within hard-coded caps. It can never block a swap or freeze user liquidity.</w:t>
      </w:r>
    </w:p>
    <w:p>
      <w:pPr>
        <w:pStyle w:val="ListParagraph"/>
        <w:numPr>
          <w:ilvl w:val="0"/>
          <w:numId w:val="2"/>
        </w:numPr>
        <w:spacing w:after="80" w:line="288"/>
      </w:pPr>
      <w:r>
        <w:rPr>
          <w:rFonts w:ascii="Arial" w:cs="Arial" w:eastAsia="Arial" w:hAnsi="Arial"/>
          <w:b/>
          <w:bCs/>
          <w:color w:val="1B1530"/>
          <w:sz w:val="21"/>
          <w:szCs w:val="21"/>
        </w:rPr>
        <w:t xml:space="preserve">Server-authoritative game.</w:t>
      </w:r>
      <w:r>
        <w:rPr>
          <w:rFonts w:ascii="Arial" w:cs="Arial" w:eastAsia="Arial" w:hAnsi="Arial"/>
          <w:color w:val="1B1530"/>
          <w:sz w:val="21"/>
          <w:szCs w:val="21"/>
        </w:rPr>
        <w:t xml:space="preserve"> Damage, drops and scores run on the game server. The chain holds ownership, trades and fee flows.</w:t>
      </w:r>
    </w:p>
    <w:p>
      <w:pPr>
        <w:pStyle w:val="Heading1"/>
      </w:pPr>
      <w:bookmarkStart w:name="b_architecture" w:id="3"/>
      <w:r>
        <w:t xml:space="preserve">3. Architecture</w:t>
      </w:r>
      <w:bookmarkEnd w:id="3"/>
    </w:p>
    <w:p>
      <w:pPr>
        <w:spacing w:after="140" w:line="300"/>
      </w:pPr>
      <w:r>
        <w:rPr>
          <w:rFonts w:ascii="Arial" w:cs="Arial" w:eastAsia="Arial" w:hAnsi="Arial"/>
          <w:color w:val="1B1530"/>
          <w:sz w:val="21"/>
          <w:szCs w:val="21"/>
        </w:rPr>
        <w:t xml:space="preserve">The game server stays off-chain. Ownership, trading and fee routing live in a small set of contracts around a single Uniswap v4 pool. The launch chain is any EVM chain where the Uniswap v4 PoolManager is deployed (for example Unichain, Base, Arbitrum or Ethereum). Robinhood Chain remains an option if Uniswap v4 is live there at launch; this must be verified against the official deployment list before going to mainnet.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1928"/>
        <w:gridCol w:w="5204"/>
      </w:tblGrid>
      <w:tr>
        <w:trPr>
          <w:tblHeader/>
        </w:trPr>
        <w:tc>
          <w:tcPr>
            <w:tcW w:type="dxa" w:w="2506"/>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Contract</w:t>
            </w:r>
          </w:p>
        </w:tc>
        <w:tc>
          <w:tcPr>
            <w:tcW w:type="dxa" w:w="1928"/>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Standard</w:t>
            </w:r>
          </w:p>
        </w:tc>
        <w:tc>
          <w:tcPr>
            <w:tcW w:type="dxa" w:w="5204"/>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Role</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CyberhoodToken</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ERC-20</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$CYBERHOOD. Fixed supply of 1,000,000,000. Burnable.</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HoodHook</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Uniswap v4 hook</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Attached to the ETH / $CYBERHOOD pool. Dynamic fee, protocol fee, discounts, referrals, swap XP, launch guard, LP lock, TWAP oracle.</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GenesisItems</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ERC-721 + ERC-2981</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444 Genesis items in 33 designs. 5% royalty.</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GameItems</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ERC-1155</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Mech parts, armor, skins minted on demand from server-signed EIP-712 vouchers.</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Marketplace</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Fixed-price listings and 24 h auctions in ETH or $CYBERHOOD. 5% fee.</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RewardPool</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Collects the player share of every fee stream and pays weekly Merkle claims.</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GuildVault</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Holds guild liquidity positions in the pool and reports time-weighted liquidity.</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SeasonLaunch</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Uniswap v4 hook</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Variant of HoodHook used for partner token launches each season.</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Treasury</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Safe 3/5 + 48 h timelock</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Owns protocol liquidity and the only keys that can tune parameters.</w:t>
            </w:r>
          </w:p>
        </w:tc>
      </w:tr>
    </w:tbl>
    <w:p>
      <w:pPr>
        <w:spacing w:after="160"/>
      </w:pPr>
    </w:p>
    <w:p>
      <w:pPr>
        <w:spacing w:after="60" w:before="120"/>
      </w:pPr>
      <w:r>
        <w:rPr>
          <w:rFonts w:ascii="Consolas" w:cs="Consolas" w:eastAsia="Consolas" w:hAnsi="Consolas"/>
          <w:b/>
          <w:bCs/>
          <w:color w:val="0AA5BF"/>
          <w:sz w:val="16"/>
          <w:szCs w:val="16"/>
        </w:rPr>
        <w:t xml:space="preserve">DATA FLOW</w:t>
      </w:r>
    </w:p>
    <w:p>
      <w:pPr>
        <w:shd w:fill="15102A" w:color="auto" w:val="clear"/>
        <w:spacing w:after="0" w:before="0" w:line="252"/>
        <w:ind w:left="120" w:right="120"/>
      </w:pPr>
      <w:r>
        <w:rPr>
          <w:rFonts w:ascii="Consolas" w:cs="Consolas" w:eastAsia="Consolas" w:hAnsi="Consolas"/>
          <w:color w:val="E9E6F5"/>
          <w:sz w:val="16"/>
          <w:szCs w:val="16"/>
        </w:rPr>
        <w:t xml:space="preserve">OFF-CHAIN (game server)                 ON-CHAIN</w:t>
      </w:r>
    </w:p>
    <w:p>
      <w:pPr>
        <w:shd w:fill="15102A" w:color="auto" w:val="clear"/>
        <w:spacing w:after="0" w:before="0" w:line="252"/>
        <w:ind w:left="120" w:right="120"/>
      </w:pPr>
      <w:r>
        <w:rPr>
          <w:rFonts w:ascii="Consolas" w:cs="Consolas" w:eastAsia="Consolas" w:hAnsi="Consolas"/>
          <w:color w:val="E9E6F5"/>
          <w:sz w:val="16"/>
          <w:szCs w:val="16"/>
        </w:rPr>
        <w:t xml:space="preserve">- Matches, drops, Hunter Score          - PoolManager (Uniswap v4 singleton)</w:t>
      </w:r>
    </w:p>
    <w:p>
      <w:pPr>
        <w:shd w:fill="15102A" w:color="auto" w:val="clear"/>
        <w:spacing w:after="0" w:before="0" w:line="252"/>
        <w:ind w:left="120" w:right="120"/>
      </w:pPr>
      <w:r>
        <w:rPr>
          <w:rFonts w:ascii="Consolas" w:cs="Consolas" w:eastAsia="Consolas" w:hAnsi="Consolas"/>
          <w:color w:val="E9E6F5"/>
          <w:sz w:val="16"/>
          <w:szCs w:val="16"/>
        </w:rPr>
        <w:t xml:space="preserve">- Unminted inventory                    - ETH / $CYBERHOOD pool  ──►  HoodHook</w:t>
      </w:r>
    </w:p>
    <w:p>
      <w:pPr>
        <w:shd w:fill="15102A" w:color="auto" w:val="clear"/>
        <w:spacing w:after="0" w:before="0" w:line="252"/>
        <w:ind w:left="120" w:right="120"/>
      </w:pPr>
      <w:r>
        <w:rPr>
          <w:rFonts w:ascii="Consolas" w:cs="Consolas" w:eastAsia="Consolas" w:hAnsi="Consolas"/>
          <w:color w:val="E9E6F5"/>
          <w:sz w:val="16"/>
          <w:szCs w:val="16"/>
        </w:rPr>
        <w:t xml:space="preserve">- Weekly reward Merkle root      ──►    - RewardPool.claim(proof)</w:t>
      </w:r>
    </w:p>
    <w:p>
      <w:pPr>
        <w:shd w:fill="15102A" w:color="auto" w:val="clear"/>
        <w:spacing w:after="0" w:before="0" w:line="252"/>
        <w:ind w:left="120" w:right="120"/>
      </w:pPr>
      <w:r>
        <w:rPr>
          <w:rFonts w:ascii="Consolas" w:cs="Consolas" w:eastAsia="Consolas" w:hAnsi="Consolas"/>
          <w:color w:val="E9E6F5"/>
          <w:sz w:val="16"/>
          <w:szCs w:val="16"/>
        </w:rPr>
        <w:t xml:space="preserve">- EIP-712 mint vouchers          ──►    - GameItems.mint(voucher)</w:t>
      </w:r>
    </w:p>
    <w:p>
      <w:pPr>
        <w:shd w:fill="15102A" w:color="auto" w:val="clear"/>
        <w:spacing w:after="200" w:before="0" w:line="252"/>
        <w:ind w:left="120" w:right="120"/>
      </w:pPr>
      <w:r>
        <w:rPr>
          <w:rFonts w:ascii="Consolas" w:cs="Consolas" w:eastAsia="Consolas" w:hAnsi="Consolas"/>
          <w:color w:val="E9E6F5"/>
          <w:sz w:val="16"/>
          <w:szCs w:val="16"/>
        </w:rPr>
        <w:t xml:space="preserve">- Indexer reads hook events      ◄──    - SwapXP, Referral, FeeRouted, Burn</w:t>
      </w:r>
    </w:p>
    <w:p>
      <w:pPr>
        <w:pStyle w:val="Heading1"/>
      </w:pPr>
      <w:bookmarkStart w:name="b_v4" w:id="4"/>
      <w:r>
        <w:t xml:space="preserve">4. Why a Uniswap v4 hook</w:t>
      </w:r>
      <w:bookmarkEnd w:id="4"/>
    </w:p>
    <w:p>
      <w:pPr>
        <w:spacing w:after="140" w:line="300"/>
      </w:pPr>
      <w:r>
        <w:rPr>
          <w:rFonts w:ascii="Arial" w:cs="Arial" w:eastAsia="Arial" w:hAnsi="Arial"/>
          <w:color w:val="1B1530"/>
          <w:sz w:val="21"/>
          <w:szCs w:val="21"/>
        </w:rPr>
        <w:t xml:space="preserve">Uniswap v4 keeps every pool inside one singleton contract, the PoolManager, and lets a pool attach a hook contract that runs before and after pool actions. That makes it possible to put game-economy rules directly in the trade path instead of wrapping the token in transfer taxes.</w:t>
      </w:r>
    </w:p>
    <w:p>
      <w:pPr>
        <w:pStyle w:val="ListParagraph"/>
        <w:numPr>
          <w:ilvl w:val="0"/>
          <w:numId w:val="2"/>
        </w:numPr>
        <w:spacing w:after="80" w:line="288"/>
      </w:pPr>
      <w:r>
        <w:rPr>
          <w:rFonts w:ascii="Arial" w:cs="Arial" w:eastAsia="Arial" w:hAnsi="Arial"/>
          <w:b/>
          <w:bCs/>
          <w:color w:val="1B1530"/>
          <w:sz w:val="21"/>
          <w:szCs w:val="21"/>
        </w:rPr>
        <w:t xml:space="preserve">Hooks by address.</w:t>
      </w:r>
      <w:r>
        <w:rPr>
          <w:rFonts w:ascii="Arial" w:cs="Arial" w:eastAsia="Arial" w:hAnsi="Arial"/>
          <w:color w:val="1B1530"/>
          <w:sz w:val="21"/>
          <w:szCs w:val="21"/>
        </w:rPr>
        <w:t xml:space="preserve"> The callbacks a hook may use are encoded in the low 14 bits of its address, so the HoodHook is deployed with CREATE2 to a mined salt that matches its permissions.</w:t>
      </w:r>
    </w:p>
    <w:p>
      <w:pPr>
        <w:pStyle w:val="ListParagraph"/>
        <w:numPr>
          <w:ilvl w:val="0"/>
          <w:numId w:val="2"/>
        </w:numPr>
        <w:spacing w:after="80" w:line="288"/>
      </w:pPr>
      <w:r>
        <w:rPr>
          <w:rFonts w:ascii="Arial" w:cs="Arial" w:eastAsia="Arial" w:hAnsi="Arial"/>
          <w:b/>
          <w:bCs/>
          <w:color w:val="1B1530"/>
          <w:sz w:val="21"/>
          <w:szCs w:val="21"/>
        </w:rPr>
        <w:t xml:space="preserve">Dynamic fees.</w:t>
      </w:r>
      <w:r>
        <w:rPr>
          <w:rFonts w:ascii="Arial" w:cs="Arial" w:eastAsia="Arial" w:hAnsi="Arial"/>
          <w:color w:val="1B1530"/>
          <w:sz w:val="21"/>
          <w:szCs w:val="21"/>
        </w:rPr>
        <w:t xml:space="preserve"> A pool created with the dynamic-fee flag lets the hook return a per-swap LP fee from beforeSwap (with the override flag set). Fees are in hundredths of a basis point: 3000 = 0.30%.</w:t>
      </w:r>
    </w:p>
    <w:p>
      <w:pPr>
        <w:pStyle w:val="ListParagraph"/>
        <w:numPr>
          <w:ilvl w:val="0"/>
          <w:numId w:val="2"/>
        </w:numPr>
        <w:spacing w:after="80" w:line="288"/>
      </w:pPr>
      <w:r>
        <w:rPr>
          <w:rFonts w:ascii="Arial" w:cs="Arial" w:eastAsia="Arial" w:hAnsi="Arial"/>
          <w:b/>
          <w:bCs/>
          <w:color w:val="1B1530"/>
          <w:sz w:val="21"/>
          <w:szCs w:val="21"/>
        </w:rPr>
        <w:t xml:space="preserve">Return deltas.</w:t>
      </w:r>
      <w:r>
        <w:rPr>
          <w:rFonts w:ascii="Arial" w:cs="Arial" w:eastAsia="Arial" w:hAnsi="Arial"/>
          <w:color w:val="1B1530"/>
          <w:sz w:val="21"/>
          <w:szCs w:val="21"/>
        </w:rPr>
        <w:t xml:space="preserve"> With afterSwapReturnDelta, the hook can take a share of the swap output as its own fee and settle it with the PoolManager in the same transaction.</w:t>
      </w:r>
    </w:p>
    <w:p>
      <w:pPr>
        <w:pStyle w:val="ListParagraph"/>
        <w:numPr>
          <w:ilvl w:val="0"/>
          <w:numId w:val="2"/>
        </w:numPr>
        <w:spacing w:after="80" w:line="288"/>
      </w:pPr>
      <w:r>
        <w:rPr>
          <w:rFonts w:ascii="Arial" w:cs="Arial" w:eastAsia="Arial" w:hAnsi="Arial"/>
          <w:b/>
          <w:bCs/>
          <w:color w:val="1B1530"/>
          <w:sz w:val="21"/>
          <w:szCs w:val="21"/>
        </w:rPr>
        <w:t xml:space="preserve">Flash accounting and ERC-6909.</w:t>
      </w:r>
      <w:r>
        <w:rPr>
          <w:rFonts w:ascii="Arial" w:cs="Arial" w:eastAsia="Arial" w:hAnsi="Arial"/>
          <w:color w:val="1B1530"/>
          <w:sz w:val="21"/>
          <w:szCs w:val="21"/>
        </w:rPr>
        <w:t xml:space="preserve"> Balances net out at the end of the unlock, and the hook can hold claims as ERC-6909 tokens inside the PoolManager instead of moving ERC-20s on every swap.</w:t>
      </w:r>
    </w:p>
    <w:p>
      <w:pPr>
        <w:pStyle w:val="ListParagraph"/>
        <w:numPr>
          <w:ilvl w:val="0"/>
          <w:numId w:val="2"/>
        </w:numPr>
        <w:spacing w:after="80" w:line="288"/>
      </w:pPr>
      <w:r>
        <w:rPr>
          <w:rFonts w:ascii="Arial" w:cs="Arial" w:eastAsia="Arial" w:hAnsi="Arial"/>
          <w:b/>
          <w:bCs/>
          <w:color w:val="1B1530"/>
          <w:sz w:val="21"/>
          <w:szCs w:val="21"/>
        </w:rPr>
        <w:t xml:space="preserve">donate().</w:t>
      </w:r>
      <w:r>
        <w:rPr>
          <w:rFonts w:ascii="Arial" w:cs="Arial" w:eastAsia="Arial" w:hAnsi="Arial"/>
          <w:color w:val="1B1530"/>
          <w:sz w:val="21"/>
          <w:szCs w:val="21"/>
        </w:rPr>
        <w:t xml:space="preserve"> The hook can give fees straight to the liquidity providers who are in range, which deepens the pool over time.</w:t>
      </w:r>
    </w:p>
    <w:p>
      <w:pPr>
        <w:pStyle w:val="ListParagraph"/>
        <w:numPr>
          <w:ilvl w:val="0"/>
          <w:numId w:val="2"/>
        </w:numPr>
        <w:spacing w:after="80" w:line="288"/>
      </w:pPr>
      <w:r>
        <w:rPr>
          <w:rFonts w:ascii="Arial" w:cs="Arial" w:eastAsia="Arial" w:hAnsi="Arial"/>
          <w:b/>
          <w:bCs/>
          <w:color w:val="1B1530"/>
          <w:sz w:val="21"/>
          <w:szCs w:val="21"/>
        </w:rPr>
        <w:t xml:space="preserve">Plain ERC-20.</w:t>
      </w:r>
      <w:r>
        <w:rPr>
          <w:rFonts w:ascii="Arial" w:cs="Arial" w:eastAsia="Arial" w:hAnsi="Arial"/>
          <w:color w:val="1B1530"/>
          <w:sz w:val="21"/>
          <w:szCs w:val="21"/>
        </w:rPr>
        <w:t xml:space="preserve"> $CYBERHOOD stays a standard token with no transfer tax, so wallets, bridges and other DEXs work normally. Only trades through this pool pay the hook fee.</w:t>
      </w:r>
    </w:p>
    <w:p>
      <w:pPr>
        <w:pStyle w:val="Heading1"/>
        <w:pageBreakBefore/>
      </w:pPr>
      <w:bookmarkStart w:name="b_hook" w:id="5"/>
      <w:r>
        <w:t xml:space="preserve">5. The HoodHook</w:t>
      </w:r>
      <w:bookmarkEnd w:id="5"/>
    </w:p>
    <w:p>
      <w:pPr>
        <w:spacing w:after="140" w:line="300"/>
      </w:pPr>
      <w:r>
        <w:rPr>
          <w:rFonts w:ascii="Arial" w:cs="Arial" w:eastAsia="Arial" w:hAnsi="Arial"/>
          <w:color w:val="1B1530"/>
          <w:sz w:val="21"/>
          <w:szCs w:val="21"/>
        </w:rPr>
        <w:t xml:space="preserve">The HoodHook is attached to a single pool: native ETH / $CYBERHOOD, dynamic fee, tick spacing 60. The table lists the callbacks it enables and what each one does.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1928"/>
        <w:gridCol w:w="5204"/>
      </w:tblGrid>
      <w:tr>
        <w:trPr>
          <w:tblHeader/>
        </w:trPr>
        <w:tc>
          <w:tcPr>
            <w:tcW w:type="dxa" w:w="2506"/>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Callback</w:t>
            </w:r>
          </w:p>
        </w:tc>
        <w:tc>
          <w:tcPr>
            <w:tcW w:type="dxa" w:w="1928"/>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Enabled</w:t>
            </w:r>
          </w:p>
        </w:tc>
        <w:tc>
          <w:tcPr>
            <w:tcW w:type="dxa" w:w="5204"/>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Purpose</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beforeInitialize</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Yes</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Accept only the ETH / $CYBERHOOD key with the dynamic-fee flag, once.</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afterInitialize</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Yes</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Record the launch block and start the price oracle.</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beforeAddLiquidity</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Yes</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Launch window: only the Treasury may add liquidity. Register GuildVault positions.</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afterAddLiquidity</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Yes</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Start the time-weighted liquidity clock for guild positions.</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beforeRemoveLiquidity</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Yes</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Block removal of locked protocol positions until the unlock time.</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beforeSwap</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Yes</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Compute the dynamic LP fee, apply the launch guard and the holder discount.</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afterSwap</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Yes</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Take the protocol fee, route it, record swap XP and referral credit, update the oracle.</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afterSwapReturnDelta</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Yes</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Lets afterSwap keep the protocol fee from the unspecified currency.</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beforeDonate / afterDonate</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No</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Not used.</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Other return-delta flags</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No</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Not used. Liquidity providers are never charged by the hook.</w:t>
            </w:r>
          </w:p>
        </w:tc>
      </w:tr>
    </w:tbl>
    <w:p>
      <w:pPr>
        <w:spacing w:after="160"/>
      </w:pPr>
    </w:p>
    <w:p>
      <w:pPr>
        <w:pBdr>
          <w:left w:val="single" w:color="E0207A" w:sz="24" w:space="8"/>
        </w:pBdr>
        <w:shd w:fill="FDEAF3" w:color="auto" w:val="clear"/>
        <w:spacing w:after="200" w:before="120" w:line="288"/>
        <w:ind w:left="160" w:right="120"/>
      </w:pPr>
      <w:r>
        <w:rPr>
          <w:rFonts w:ascii="Arial" w:cs="Arial" w:eastAsia="Arial" w:hAnsi="Arial"/>
          <w:color w:val="1B1530"/>
          <w:sz w:val="19"/>
          <w:szCs w:val="19"/>
        </w:rPr>
        <w:t xml:space="preserve">Who is the trader? Inside a hook, msg.sender is the router, not the user. The HoodHook only grants discounts, referral credit and XP when the swap comes through an allowlisted router that exposes msgSender() (the v4 periphery routers and the Universal Router do), or when the user signs the hookData. Swaps from any other router still work at the normal fee.</w:t>
      </w:r>
    </w:p>
    <w:p>
      <w:pPr>
        <w:pStyle w:val="Heading2"/>
      </w:pPr>
      <w:bookmarkStart w:name="b_fee" w:id="6"/>
      <w:r>
        <w:t xml:space="preserve">5.1 Dynamic LP fee</w:t>
      </w:r>
      <w:bookmarkEnd w:id="6"/>
    </w:p>
    <w:p>
      <w:pPr>
        <w:spacing w:after="140" w:line="300"/>
      </w:pPr>
      <w:r>
        <w:rPr>
          <w:rFonts w:ascii="Arial" w:cs="Arial" w:eastAsia="Arial" w:hAnsi="Arial"/>
          <w:color w:val="1B1530"/>
          <w:sz w:val="21"/>
          <w:szCs w:val="21"/>
        </w:rPr>
        <w:t xml:space="preserve">The LP fee is recalculated on every swap. It starts high on sells during launch, falls to the base fee, and rises briefly when the price moves sharply inside one block.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3"/>
        <w:gridCol w:w="1735"/>
        <w:gridCol w:w="5590"/>
      </w:tblGrid>
      <w:tr>
        <w:trPr>
          <w:tblHeader/>
        </w:trPr>
        <w:tc>
          <w:tcPr>
            <w:tcW w:type="dxa" w:w="2313"/>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Component</w:t>
            </w:r>
          </w:p>
        </w:tc>
        <w:tc>
          <w:tcPr>
            <w:tcW w:type="dxa" w:w="1735"/>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Value</w:t>
            </w:r>
          </w:p>
        </w:tc>
        <w:tc>
          <w:tcPr>
            <w:tcW w:type="dxa" w:w="5590"/>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Rule</w:t>
            </w:r>
          </w:p>
        </w:tc>
      </w:tr>
      <w:tr>
        <w:tc>
          <w:tcPr>
            <w:tcW w:type="dxa" w:w="2313"/>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Base fee</w:t>
            </w:r>
          </w:p>
        </w:tc>
        <w:tc>
          <w:tcPr>
            <w:tcW w:type="dxa" w:w="1735"/>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0.30%</w:t>
            </w:r>
          </w:p>
        </w:tc>
        <w:tc>
          <w:tcPr>
            <w:tcW w:type="dxa" w:w="5590"/>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Normal trading, both directions.</w:t>
            </w:r>
          </w:p>
        </w:tc>
      </w:tr>
      <w:tr>
        <w:tc>
          <w:tcPr>
            <w:tcW w:type="dxa" w:w="2313"/>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Launch sell fee</w:t>
            </w:r>
          </w:p>
        </w:tc>
        <w:tc>
          <w:tcPr>
            <w:tcW w:type="dxa" w:w="1735"/>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8% → 0.30%</w:t>
            </w:r>
          </w:p>
        </w:tc>
        <w:tc>
          <w:tcPr>
            <w:tcW w:type="dxa" w:w="5590"/>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Falls linearly over the first 72 hours after liquidity opens.</w:t>
            </w:r>
          </w:p>
        </w:tc>
      </w:tr>
      <w:tr>
        <w:tc>
          <w:tcPr>
            <w:tcW w:type="dxa" w:w="2313"/>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Launch buy fee</w:t>
            </w:r>
          </w:p>
        </w:tc>
        <w:tc>
          <w:tcPr>
            <w:tcW w:type="dxa" w:w="1735"/>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1% → 0.30%</w:t>
            </w:r>
          </w:p>
        </w:tc>
        <w:tc>
          <w:tcPr>
            <w:tcW w:type="dxa" w:w="5590"/>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Falls linearly over the first 24 hours.</w:t>
            </w:r>
          </w:p>
        </w:tc>
      </w:tr>
      <w:tr>
        <w:tc>
          <w:tcPr>
            <w:tcW w:type="dxa" w:w="2313"/>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Volatility surcharge</w:t>
            </w:r>
          </w:p>
        </w:tc>
        <w:tc>
          <w:tcPr>
            <w:tcW w:type="dxa" w:w="1735"/>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+0.20%</w:t>
            </w:r>
          </w:p>
        </w:tc>
        <w:tc>
          <w:tcPr>
            <w:tcW w:type="dxa" w:w="5590"/>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When the pool tick has moved more than 100 ticks (about 1%) in the same block. Makes sandwich attacks costly.</w:t>
            </w:r>
          </w:p>
        </w:tc>
      </w:tr>
      <w:tr>
        <w:tc>
          <w:tcPr>
            <w:tcW w:type="dxa" w:w="2313"/>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Circuit breaker</w:t>
            </w:r>
          </w:p>
        </w:tc>
        <w:tc>
          <w:tcPr>
            <w:tcW w:type="dxa" w:w="1735"/>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+2% on sells</w:t>
            </w:r>
          </w:p>
        </w:tc>
        <w:tc>
          <w:tcPr>
            <w:tcW w:type="dxa" w:w="5590"/>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For 30 minutes when the 1-hour TWAP falls more than 25%. Never blocks a sell.</w:t>
            </w:r>
          </w:p>
        </w:tc>
      </w:tr>
      <w:tr>
        <w:tc>
          <w:tcPr>
            <w:tcW w:type="dxa" w:w="2313"/>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Hard cap</w:t>
            </w:r>
          </w:p>
        </w:tc>
        <w:tc>
          <w:tcPr>
            <w:tcW w:type="dxa" w:w="1735"/>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10%</w:t>
            </w:r>
          </w:p>
        </w:tc>
        <w:tc>
          <w:tcPr>
            <w:tcW w:type="dxa" w:w="5590"/>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MAX_LP_FEE is a constant. No parameter or owner can exceed it.</w:t>
            </w:r>
          </w:p>
        </w:tc>
      </w:tr>
    </w:tbl>
    <w:p>
      <w:pPr>
        <w:spacing w:after="160"/>
      </w:pPr>
    </w:p>
    <w:p>
      <w:pPr>
        <w:pStyle w:val="Heading2"/>
      </w:pPr>
      <w:bookmarkStart w:name="b_protocol" w:id="7"/>
      <w:r>
        <w:t xml:space="preserve">5.2 Protocol fee and where it goes</w:t>
      </w:r>
      <w:bookmarkEnd w:id="7"/>
    </w:p>
    <w:p>
      <w:pPr>
        <w:spacing w:after="140" w:line="300"/>
      </w:pPr>
      <w:r>
        <w:rPr>
          <w:rFonts w:ascii="Arial" w:cs="Arial" w:eastAsia="Arial" w:hAnsi="Arial"/>
          <w:color w:val="1B1530"/>
          <w:sz w:val="21"/>
          <w:szCs w:val="21"/>
        </w:rPr>
        <w:t xml:space="preserve">On top of the LP fee, the hook keeps 0.20% of each swap's output through afterSwapReturnDelta. The fee is held as ERC-6909 claims and swept once per epoch (about one hour) to keep each swap cheap.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1928"/>
        <w:gridCol w:w="5204"/>
      </w:tblGrid>
      <w:tr>
        <w:trPr>
          <w:tblHeader/>
        </w:trPr>
        <w:tc>
          <w:tcPr>
            <w:tcW w:type="dxa" w:w="2506"/>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Destination</w:t>
            </w:r>
          </w:p>
        </w:tc>
        <w:tc>
          <w:tcPr>
            <w:tcW w:type="dxa" w:w="1928"/>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Share</w:t>
            </w:r>
          </w:p>
        </w:tc>
        <w:tc>
          <w:tcPr>
            <w:tcW w:type="dxa" w:w="5204"/>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What happens</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Player Reward Pool</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40%</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Paid out weekly by Hunter Score (section 8).</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Buyback &amp; burn</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30%</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ETH share buys $CYBERHOOD in the pool and burns it; the token share is burned directly.</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LP boost</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20%</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Given to in-range liquidity providers with donate().</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Operations</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10%</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Servers, audits and bounties, held by the Treasury.</w:t>
            </w:r>
          </w:p>
        </w:tc>
      </w:tr>
    </w:tbl>
    <w:p>
      <w:pPr>
        <w:spacing w:after="160"/>
      </w:pPr>
    </w:p>
    <w:p>
      <w:pPr>
        <w:spacing w:after="140" w:line="300"/>
      </w:pPr>
      <w:r>
        <w:rPr>
          <w:rFonts w:ascii="Arial" w:cs="Arial" w:eastAsia="Arial" w:hAnsi="Arial"/>
          <w:color w:val="1B1530"/>
          <w:sz w:val="21"/>
          <w:szCs w:val="21"/>
        </w:rPr>
        <w:t xml:space="preserve">The protocol fee is capped at 0.50% in code. Governance can lower it or change the split between the four destinations, but the Player Reward Pool share cannot go below 30%.</w:t>
      </w:r>
    </w:p>
    <w:p>
      <w:pPr>
        <w:pStyle w:val="Heading2"/>
      </w:pPr>
      <w:bookmarkStart w:name="b_discount" w:id="8"/>
      <w:r>
        <w:t xml:space="preserve">5.3 Genesis holder discount</w:t>
      </w:r>
      <w:bookmarkEnd w:id="8"/>
    </w:p>
    <w:p>
      <w:pPr>
        <w:spacing w:after="140" w:line="300"/>
      </w:pPr>
      <w:r>
        <w:rPr>
          <w:rFonts w:ascii="Arial" w:cs="Arial" w:eastAsia="Arial" w:hAnsi="Arial"/>
          <w:color w:val="1B1530"/>
          <w:sz w:val="21"/>
          <w:szCs w:val="21"/>
        </w:rPr>
        <w:t xml:space="preserve">A trader who owns a Genesis NFT pays less protocol fee. The router passes the tokenId in hookData and the hook checks ownerOf against the verified trader. Only the best discount applies; discounts never reduce the LP fee, so liquidity providers are not affected.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2891"/>
        <w:gridCol w:w="2892"/>
      </w:tblGrid>
      <w:tr>
        <w:trPr>
          <w:tblHeader/>
        </w:trPr>
        <w:tc>
          <w:tcPr>
            <w:tcW w:type="dxa" w:w="3855"/>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Holding</w:t>
            </w:r>
          </w:p>
        </w:tc>
        <w:tc>
          <w:tcPr>
            <w:tcW w:type="dxa" w:w="2891"/>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Protocol fee discount</w:t>
            </w:r>
          </w:p>
        </w:tc>
        <w:tc>
          <w:tcPr>
            <w:tcW w:type="dxa" w:w="2892"/>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Effective protocol fee</w:t>
            </w:r>
          </w:p>
        </w:tc>
      </w:tr>
      <w:tr>
        <w:tc>
          <w:tcPr>
            <w:tcW w:type="dxa" w:w="3855"/>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Verified Hunter Pass (no NFT)</w:t>
            </w:r>
          </w:p>
        </w:tc>
        <w:tc>
          <w:tcPr>
            <w:tcW w:type="dxa" w:w="2891"/>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10%</w:t>
            </w:r>
          </w:p>
        </w:tc>
        <w:tc>
          <w:tcPr>
            <w:tcW w:type="dxa" w:w="2892"/>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0.18%</w:t>
            </w:r>
          </w:p>
        </w:tc>
      </w:tr>
      <w:tr>
        <w:tc>
          <w:tcPr>
            <w:tcW w:type="dxa" w:w="3855"/>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Common Genesis</w:t>
            </w:r>
          </w:p>
        </w:tc>
        <w:tc>
          <w:tcPr>
            <w:tcW w:type="dxa" w:w="2891"/>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10%</w:t>
            </w:r>
          </w:p>
        </w:tc>
        <w:tc>
          <w:tcPr>
            <w:tcW w:type="dxa" w:w="2892"/>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0.18%</w:t>
            </w:r>
          </w:p>
        </w:tc>
      </w:tr>
      <w:tr>
        <w:tc>
          <w:tcPr>
            <w:tcW w:type="dxa" w:w="3855"/>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Rare Genesis</w:t>
            </w:r>
          </w:p>
        </w:tc>
        <w:tc>
          <w:tcPr>
            <w:tcW w:type="dxa" w:w="2891"/>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20%</w:t>
            </w:r>
          </w:p>
        </w:tc>
        <w:tc>
          <w:tcPr>
            <w:tcW w:type="dxa" w:w="2892"/>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0.16%</w:t>
            </w:r>
          </w:p>
        </w:tc>
      </w:tr>
      <w:tr>
        <w:tc>
          <w:tcPr>
            <w:tcW w:type="dxa" w:w="3855"/>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Epic Genesis</w:t>
            </w:r>
          </w:p>
        </w:tc>
        <w:tc>
          <w:tcPr>
            <w:tcW w:type="dxa" w:w="2891"/>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30%</w:t>
            </w:r>
          </w:p>
        </w:tc>
        <w:tc>
          <w:tcPr>
            <w:tcW w:type="dxa" w:w="2892"/>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0.14%</w:t>
            </w:r>
          </w:p>
        </w:tc>
      </w:tr>
      <w:tr>
        <w:tc>
          <w:tcPr>
            <w:tcW w:type="dxa" w:w="3855"/>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Legendary Genesis</w:t>
            </w:r>
          </w:p>
        </w:tc>
        <w:tc>
          <w:tcPr>
            <w:tcW w:type="dxa" w:w="2891"/>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40%</w:t>
            </w:r>
          </w:p>
        </w:tc>
        <w:tc>
          <w:tcPr>
            <w:tcW w:type="dxa" w:w="2892"/>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0.12%</w:t>
            </w:r>
          </w:p>
        </w:tc>
      </w:tr>
      <w:tr>
        <w:tc>
          <w:tcPr>
            <w:tcW w:type="dxa" w:w="3855"/>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Mythic Genesis</w:t>
            </w:r>
          </w:p>
        </w:tc>
        <w:tc>
          <w:tcPr>
            <w:tcW w:type="dxa" w:w="2891"/>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50%</w:t>
            </w:r>
          </w:p>
        </w:tc>
        <w:tc>
          <w:tcPr>
            <w:tcW w:type="dxa" w:w="2892"/>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0.10%</w:t>
            </w:r>
          </w:p>
        </w:tc>
      </w:tr>
    </w:tbl>
    <w:p>
      <w:pPr>
        <w:spacing w:after="160"/>
      </w:pPr>
    </w:p>
    <w:p>
      <w:pPr>
        <w:pStyle w:val="Heading2"/>
      </w:pPr>
      <w:bookmarkStart w:name="b_xp" w:id="9"/>
      <w:r>
        <w:t xml:space="preserve">5.4 Swap XP (Hunter Score)</w:t>
      </w:r>
      <w:bookmarkEnd w:id="9"/>
    </w:p>
    <w:p>
      <w:pPr>
        <w:spacing w:after="140" w:line="300"/>
      </w:pPr>
      <w:r>
        <w:rPr>
          <w:rFonts w:ascii="Arial" w:cs="Arial" w:eastAsia="Arial" w:hAnsi="Arial"/>
          <w:color w:val="1B1530"/>
          <w:sz w:val="21"/>
          <w:szCs w:val="21"/>
        </w:rPr>
        <w:t xml:space="preserve">Swaps from a verified Hunter Pass wallet emit a SwapXP event. The game server indexes it and adds points to the weekly Hunter Score. Gameplay stays the main source of score; swap XP is a small, capped bonus.</w:t>
      </w:r>
    </w:p>
    <w:p>
      <w:pPr>
        <w:pStyle w:val="ListParagraph"/>
        <w:numPr>
          <w:ilvl w:val="0"/>
          <w:numId w:val="2"/>
        </w:numPr>
        <w:spacing w:after="80" w:line="288"/>
      </w:pPr>
      <w:r>
        <w:rPr>
          <w:rFonts w:ascii="Arial" w:cs="Arial" w:eastAsia="Arial" w:hAnsi="Arial"/>
          <w:color w:val="1B1530"/>
          <w:sz w:val="21"/>
          <w:szCs w:val="21"/>
        </w:rPr>
        <w:t xml:space="preserve">1 Hunter Score point for each 0.01 ETH of swap volume.</w:t>
      </w:r>
    </w:p>
    <w:p>
      <w:pPr>
        <w:pStyle w:val="ListParagraph"/>
        <w:numPr>
          <w:ilvl w:val="0"/>
          <w:numId w:val="2"/>
        </w:numPr>
        <w:spacing w:after="80" w:line="288"/>
      </w:pPr>
      <w:r>
        <w:rPr>
          <w:rFonts w:ascii="Arial" w:cs="Arial" w:eastAsia="Arial" w:hAnsi="Arial"/>
          <w:color w:val="1B1530"/>
          <w:sz w:val="21"/>
          <w:szCs w:val="21"/>
        </w:rPr>
        <w:t xml:space="preserve">Counted volume is capped at 0.3 ETH per account per day and swap points at 200 per week, a tenth of the 2,000-point weekly cap.</w:t>
      </w:r>
    </w:p>
    <w:p>
      <w:pPr>
        <w:pStyle w:val="ListParagraph"/>
        <w:numPr>
          <w:ilvl w:val="0"/>
          <w:numId w:val="2"/>
        </w:numPr>
        <w:spacing w:after="80" w:line="288"/>
      </w:pPr>
      <w:r>
        <w:rPr>
          <w:rFonts w:ascii="Arial" w:cs="Arial" w:eastAsia="Arial" w:hAnsi="Arial"/>
          <w:color w:val="1B1530"/>
          <w:sz w:val="21"/>
          <w:szCs w:val="21"/>
        </w:rPr>
        <w:t xml:space="preserve">A buy and sell that reverse each other within 10 minutes count once (wash-trade filter).</w:t>
      </w:r>
    </w:p>
    <w:p>
      <w:pPr>
        <w:pStyle w:val="ListParagraph"/>
        <w:numPr>
          <w:ilvl w:val="0"/>
          <w:numId w:val="2"/>
        </w:numPr>
        <w:spacing w:after="80" w:line="288"/>
      </w:pPr>
      <w:r>
        <w:rPr>
          <w:rFonts w:ascii="Arial" w:cs="Arial" w:eastAsia="Arial" w:hAnsi="Arial"/>
          <w:color w:val="1B1530"/>
          <w:sz w:val="21"/>
          <w:szCs w:val="21"/>
        </w:rPr>
        <w:t xml:space="preserve">XP is never paid out directly and never triggers a random reward. It only feeds the activity share of the weekly pool.</w:t>
      </w:r>
    </w:p>
    <w:p>
      <w:pPr>
        <w:pStyle w:val="Heading2"/>
      </w:pPr>
      <w:bookmarkStart w:name="b_referral" w:id="10"/>
      <w:r>
        <w:t xml:space="preserve">5.5 Referral rebate</w:t>
      </w:r>
      <w:bookmarkEnd w:id="10"/>
    </w:p>
    <w:p>
      <w:pPr>
        <w:spacing w:after="140" w:line="300"/>
      </w:pPr>
      <w:r>
        <w:rPr>
          <w:rFonts w:ascii="Arial" w:cs="Arial" w:eastAsia="Arial" w:hAnsi="Arial"/>
          <w:color w:val="1B1530"/>
          <w:sz w:val="21"/>
          <w:szCs w:val="21"/>
        </w:rPr>
        <w:t xml:space="preserve">A new Hunter can join with a referral code. For 180 days, 10% of the protocol fee from that Hunter's swaps is credited to the referrer as claimable ERC-6909 balance. The rebate comes from the protocol fee, never from the new player's trade.</w:t>
      </w:r>
    </w:p>
    <w:p>
      <w:pPr>
        <w:pStyle w:val="Heading2"/>
      </w:pPr>
      <w:bookmarkStart w:name="b_guard" w:id="11"/>
      <w:r>
        <w:t xml:space="preserve">5.6 Launch guard and liquidity lock</w:t>
      </w:r>
      <w:bookmarkEnd w:id="11"/>
    </w:p>
    <w:p>
      <w:pPr>
        <w:pStyle w:val="ListParagraph"/>
        <w:numPr>
          <w:ilvl w:val="0"/>
          <w:numId w:val="2"/>
        </w:numPr>
        <w:spacing w:after="80" w:line="288"/>
      </w:pPr>
      <w:r>
        <w:rPr>
          <w:rFonts w:ascii="Arial" w:cs="Arial" w:eastAsia="Arial" w:hAnsi="Arial"/>
          <w:b/>
          <w:bCs/>
          <w:color w:val="1B1530"/>
          <w:sz w:val="21"/>
          <w:szCs w:val="21"/>
        </w:rPr>
        <w:t xml:space="preserve">Launch window.</w:t>
      </w:r>
      <w:r>
        <w:rPr>
          <w:rFonts w:ascii="Arial" w:cs="Arial" w:eastAsia="Arial" w:hAnsi="Arial"/>
          <w:color w:val="1B1530"/>
          <w:sz w:val="21"/>
          <w:szCs w:val="21"/>
        </w:rPr>
        <w:t xml:space="preserve"> For the first 30 blocks after liquidity opens, a swap may buy at most 0.1% of supply and each verified trader can swap once per block.</w:t>
      </w:r>
    </w:p>
    <w:p>
      <w:pPr>
        <w:pStyle w:val="ListParagraph"/>
        <w:numPr>
          <w:ilvl w:val="0"/>
          <w:numId w:val="2"/>
        </w:numPr>
        <w:spacing w:after="80" w:line="288"/>
      </w:pPr>
      <w:r>
        <w:rPr>
          <w:rFonts w:ascii="Arial" w:cs="Arial" w:eastAsia="Arial" w:hAnsi="Arial"/>
          <w:b/>
          <w:bCs/>
          <w:color w:val="1B1530"/>
          <w:sz w:val="21"/>
          <w:szCs w:val="21"/>
        </w:rPr>
        <w:t xml:space="preserve">Router allowlist.</w:t>
      </w:r>
      <w:r>
        <w:rPr>
          <w:rFonts w:ascii="Arial" w:cs="Arial" w:eastAsia="Arial" w:hAnsi="Arial"/>
          <w:color w:val="1B1530"/>
          <w:sz w:val="21"/>
          <w:szCs w:val="21"/>
        </w:rPr>
        <w:t xml:space="preserve"> During the window only allowlisted routers can trade; afterwards the pool is open to every router.</w:t>
      </w:r>
    </w:p>
    <w:p>
      <w:pPr>
        <w:pStyle w:val="ListParagraph"/>
        <w:numPr>
          <w:ilvl w:val="0"/>
          <w:numId w:val="2"/>
        </w:numPr>
        <w:spacing w:after="80" w:line="288"/>
      </w:pPr>
      <w:r>
        <w:rPr>
          <w:rFonts w:ascii="Arial" w:cs="Arial" w:eastAsia="Arial" w:hAnsi="Arial"/>
          <w:b/>
          <w:bCs/>
          <w:color w:val="1B1530"/>
          <w:sz w:val="21"/>
          <w:szCs w:val="21"/>
        </w:rPr>
        <w:t xml:space="preserve">Protocol liquidity lock.</w:t>
      </w:r>
      <w:r>
        <w:rPr>
          <w:rFonts w:ascii="Arial" w:cs="Arial" w:eastAsia="Arial" w:hAnsi="Arial"/>
          <w:color w:val="1B1530"/>
          <w:sz w:val="21"/>
          <w:szCs w:val="21"/>
        </w:rPr>
        <w:t xml:space="preserve"> The Treasury seeds the pool with 10% of supply. Its positions (identified by the PositionManager salt) cannot be removed for 12 months.</w:t>
      </w:r>
    </w:p>
    <w:p>
      <w:pPr>
        <w:pStyle w:val="ListParagraph"/>
        <w:numPr>
          <w:ilvl w:val="0"/>
          <w:numId w:val="2"/>
        </w:numPr>
        <w:spacing w:after="80" w:line="288"/>
      </w:pPr>
      <w:r>
        <w:rPr>
          <w:rFonts w:ascii="Arial" w:cs="Arial" w:eastAsia="Arial" w:hAnsi="Arial"/>
          <w:b/>
          <w:bCs/>
          <w:color w:val="1B1530"/>
          <w:sz w:val="21"/>
          <w:szCs w:val="21"/>
        </w:rPr>
        <w:t xml:space="preserve">No blacklist.</w:t>
      </w:r>
      <w:r>
        <w:rPr>
          <w:rFonts w:ascii="Arial" w:cs="Arial" w:eastAsia="Arial" w:hAnsi="Arial"/>
          <w:color w:val="1B1530"/>
          <w:sz w:val="21"/>
          <w:szCs w:val="21"/>
        </w:rPr>
        <w:t xml:space="preserve"> The hook has no function to block an address, freeze a balance or stop swaps.</w:t>
      </w:r>
    </w:p>
    <w:p>
      <w:pPr>
        <w:pStyle w:val="Heading2"/>
      </w:pPr>
      <w:bookmarkStart w:name="b_oracle" w:id="12"/>
      <w:r>
        <w:t xml:space="preserve">5.7 Price oracle for in-game prices</w:t>
      </w:r>
      <w:bookmarkEnd w:id="12"/>
    </w:p>
    <w:p>
      <w:pPr>
        <w:spacing w:after="140" w:line="300"/>
      </w:pPr>
      <w:r>
        <w:rPr>
          <w:rFonts w:ascii="Arial" w:cs="Arial" w:eastAsia="Arial" w:hAnsi="Arial"/>
          <w:color w:val="1B1530"/>
          <w:sz w:val="21"/>
          <w:szCs w:val="21"/>
        </w:rPr>
        <w:t xml:space="preserve">The hook keeps a ring buffer of price observations and exposes a time-weighted average price. In-game services such as Mech repair are quoted in US dollars; the GameBank converts them to $CYBERHOOD using the 30-minute TWAP, so one large trade cannot change what players pay.</w:t>
      </w:r>
    </w:p>
    <w:p>
      <w:pPr>
        <w:pStyle w:val="Heading2"/>
      </w:pPr>
      <w:bookmarkStart w:name="b_guilds" w:id="13"/>
      <w:r>
        <w:t xml:space="preserve">5.8 Guild liquidity vaults</w:t>
      </w:r>
      <w:bookmarkEnd w:id="13"/>
    </w:p>
    <w:p>
      <w:pPr>
        <w:spacing w:after="140" w:line="300"/>
      </w:pPr>
      <w:r>
        <w:rPr>
          <w:rFonts w:ascii="Arial" w:cs="Arial" w:eastAsia="Arial" w:hAnsi="Arial"/>
          <w:color w:val="1B1530"/>
          <w:sz w:val="21"/>
          <w:szCs w:val="21"/>
        </w:rPr>
        <w:t xml:space="preserve">Guilds can provide liquidity through a GuildVault. The hook records the liquidity and how long it stays. Each guild earns territory influence equal to the square root of its time-weighted liquidity, and that bonus is capped at +10% of a territory-war score, so liquidity helps a guild but cannot replace winning battles.</w:t>
      </w:r>
    </w:p>
    <w:p>
      <w:pPr>
        <w:pStyle w:val="Heading1"/>
        <w:pageBreakBefore/>
      </w:pPr>
      <w:bookmarkStart w:name="b_genesis" w:id="14"/>
      <w:r>
        <w:t xml:space="preserve">6. Genesis NFT collection</w:t>
      </w:r>
      <w:bookmarkEnd w:id="14"/>
    </w:p>
    <w:p>
      <w:pPr>
        <w:spacing w:after="140" w:line="300"/>
      </w:pPr>
      <w:r>
        <w:rPr>
          <w:rFonts w:ascii="Arial" w:cs="Arial" w:eastAsia="Arial" w:hAnsi="Arial"/>
          <w:color w:val="1B1530"/>
          <w:sz w:val="21"/>
          <w:szCs w:val="21"/>
        </w:rPr>
        <w:t xml:space="preserve">444 pixel-art weapons, armor and relics in 33 designs, minted once for Season 0 as ERC-721 tokens with a 5% ERC-2981 royalty. Rarer designs have fewer editions and a higher mint price.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1928"/>
        <w:gridCol w:w="1928"/>
        <w:gridCol w:w="1928"/>
        <w:gridCol w:w="1926"/>
      </w:tblGrid>
      <w:tr>
        <w:trPr>
          <w:tblHeader/>
        </w:trPr>
        <w:tc>
          <w:tcPr>
            <w:tcW w:type="dxa" w:w="1928"/>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Rarity</w:t>
            </w:r>
          </w:p>
        </w:tc>
        <w:tc>
          <w:tcPr>
            <w:tcW w:type="dxa" w:w="1928"/>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Designs</w:t>
            </w:r>
          </w:p>
        </w:tc>
        <w:tc>
          <w:tcPr>
            <w:tcW w:type="dxa" w:w="1928"/>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Editions each</w:t>
            </w:r>
          </w:p>
        </w:tc>
        <w:tc>
          <w:tcPr>
            <w:tcW w:type="dxa" w:w="1928"/>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Items</w:t>
            </w:r>
          </w:p>
        </w:tc>
        <w:tc>
          <w:tcPr>
            <w:tcW w:type="dxa" w:w="1926"/>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Mint price</w:t>
            </w:r>
          </w:p>
        </w:tc>
      </w:tr>
      <w:tr>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Mythic</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6</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4</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24</w:t>
            </w:r>
          </w:p>
        </w:tc>
        <w:tc>
          <w:tcPr>
            <w:tcW w:type="dxa" w:w="192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0.044–0.050 ETH</w:t>
            </w:r>
          </w:p>
        </w:tc>
      </w:tr>
      <w:tr>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Legendary</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10</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8</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80</w:t>
            </w:r>
          </w:p>
        </w:tc>
        <w:tc>
          <w:tcPr>
            <w:tcW w:type="dxa" w:w="192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0.032–0.040 ETH</w:t>
            </w:r>
          </w:p>
        </w:tc>
      </w:tr>
      <w:tr>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Epic</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10</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14</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140</w:t>
            </w:r>
          </w:p>
        </w:tc>
        <w:tc>
          <w:tcPr>
            <w:tcW w:type="dxa" w:w="192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0.022–0.030 ETH</w:t>
            </w:r>
          </w:p>
        </w:tc>
      </w:tr>
      <w:tr>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Rare</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6</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25</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150</w:t>
            </w:r>
          </w:p>
        </w:tc>
        <w:tc>
          <w:tcPr>
            <w:tcW w:type="dxa" w:w="192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0.015–0.020 ETH</w:t>
            </w:r>
          </w:p>
        </w:tc>
      </w:tr>
      <w:tr>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Common</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1</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50</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50</w:t>
            </w:r>
          </w:p>
        </w:tc>
        <w:tc>
          <w:tcPr>
            <w:tcW w:type="dxa" w:w="192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0.010 ETH</w:t>
            </w:r>
          </w:p>
        </w:tc>
      </w:tr>
      <w:tr>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Total</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33</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444</w:t>
            </w:r>
          </w:p>
        </w:tc>
        <w:tc>
          <w:tcPr>
            <w:tcW w:type="dxa" w:w="192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w:t>
            </w:r>
          </w:p>
        </w:tc>
      </w:tr>
    </w:tbl>
    <w:p>
      <w:pPr>
        <w:spacing w:after="160"/>
      </w:pPr>
    </w:p>
    <w:p>
      <w:pPr>
        <w:pStyle w:val="ListParagraph"/>
        <w:numPr>
          <w:ilvl w:val="0"/>
          <w:numId w:val="2"/>
        </w:numPr>
        <w:spacing w:after="80" w:line="288"/>
      </w:pPr>
      <w:r>
        <w:rPr>
          <w:rFonts w:ascii="Arial" w:cs="Arial" w:eastAsia="Arial" w:hAnsi="Arial"/>
          <w:b/>
          <w:bCs/>
          <w:color w:val="1B1530"/>
          <w:sz w:val="21"/>
          <w:szCs w:val="21"/>
        </w:rPr>
        <w:t xml:space="preserve">Utility:</w:t>
      </w:r>
      <w:r>
        <w:rPr>
          <w:rFonts w:ascii="Arial" w:cs="Arial" w:eastAsia="Arial" w:hAnsi="Arial"/>
          <w:color w:val="1B1530"/>
          <w:sz w:val="21"/>
          <w:szCs w:val="21"/>
        </w:rPr>
        <w:t xml:space="preserve"> the HoodHook fee discount, a cosmetic version of the item in game, and the Founding Hunter badge. Genesis NFTs give no yield and no share of revenue.</w:t>
      </w:r>
    </w:p>
    <w:p>
      <w:pPr>
        <w:pStyle w:val="ListParagraph"/>
        <w:numPr>
          <w:ilvl w:val="0"/>
          <w:numId w:val="2"/>
        </w:numPr>
        <w:spacing w:after="80" w:line="288"/>
      </w:pPr>
      <w:r>
        <w:rPr>
          <w:rFonts w:ascii="Arial" w:cs="Arial" w:eastAsia="Arial" w:hAnsi="Arial"/>
          <w:b/>
          <w:bCs/>
          <w:color w:val="1B1530"/>
          <w:sz w:val="21"/>
          <w:szCs w:val="21"/>
        </w:rPr>
        <w:t xml:space="preserve">Mint:</w:t>
      </w:r>
      <w:r>
        <w:rPr>
          <w:rFonts w:ascii="Arial" w:cs="Arial" w:eastAsia="Arial" w:hAnsi="Arial"/>
          <w:color w:val="1B1530"/>
          <w:sz w:val="21"/>
          <w:szCs w:val="21"/>
        </w:rPr>
        <w:t xml:space="preserve"> Hunter Pass holders get a 24-hour allowlist window, then a public window. Maximum 3 per wallet.</w:t>
      </w:r>
    </w:p>
    <w:p>
      <w:pPr>
        <w:pStyle w:val="ListParagraph"/>
        <w:numPr>
          <w:ilvl w:val="0"/>
          <w:numId w:val="2"/>
        </w:numPr>
        <w:spacing w:after="80" w:line="288"/>
      </w:pPr>
      <w:r>
        <w:rPr>
          <w:rFonts w:ascii="Arial" w:cs="Arial" w:eastAsia="Arial" w:hAnsi="Arial"/>
          <w:b/>
          <w:bCs/>
          <w:color w:val="1B1530"/>
          <w:sz w:val="21"/>
          <w:szCs w:val="21"/>
        </w:rPr>
        <w:t xml:space="preserve">Proceeds (proposal):</w:t>
      </w:r>
      <w:r>
        <w:rPr>
          <w:rFonts w:ascii="Arial" w:cs="Arial" w:eastAsia="Arial" w:hAnsi="Arial"/>
          <w:color w:val="1B1530"/>
          <w:sz w:val="21"/>
          <w:szCs w:val="21"/>
        </w:rPr>
        <w:t xml:space="preserve"> 50% paired with $CYBERHOOD as pool liquidity, 30% to the Season 0 Player Reward Pool, 20% to development.</w:t>
      </w:r>
    </w:p>
    <w:p>
      <w:pPr>
        <w:pStyle w:val="ListParagraph"/>
        <w:numPr>
          <w:ilvl w:val="0"/>
          <w:numId w:val="2"/>
        </w:numPr>
        <w:spacing w:after="80" w:line="288"/>
      </w:pPr>
      <w:r>
        <w:rPr>
          <w:rFonts w:ascii="Arial" w:cs="Arial" w:eastAsia="Arial" w:hAnsi="Arial"/>
          <w:b/>
          <w:bCs/>
          <w:color w:val="1B1530"/>
          <w:sz w:val="21"/>
          <w:szCs w:val="21"/>
        </w:rPr>
        <w:t xml:space="preserve">Royalty split:</w:t>
      </w:r>
      <w:r>
        <w:rPr>
          <w:rFonts w:ascii="Arial" w:cs="Arial" w:eastAsia="Arial" w:hAnsi="Arial"/>
          <w:color w:val="1B1530"/>
          <w:sz w:val="21"/>
          <w:szCs w:val="21"/>
        </w:rPr>
        <w:t xml:space="preserve"> 2.5% Player Reward Pool, 2.5% studio.</w:t>
      </w:r>
    </w:p>
    <w:p>
      <w:pPr>
        <w:pStyle w:val="Heading1"/>
      </w:pPr>
      <w:bookmarkStart w:name="b_token" w:id="15"/>
      <w:r>
        <w:t xml:space="preserve">7. $CYBERHOOD token</w:t>
      </w:r>
      <w:bookmarkEnd w:id="15"/>
    </w:p>
    <w:p>
      <w:pPr>
        <w:spacing w:after="140" w:line="300"/>
      </w:pPr>
      <w:r>
        <w:rPr>
          <w:rFonts w:ascii="Arial" w:cs="Arial" w:eastAsia="Arial" w:hAnsi="Arial"/>
          <w:color w:val="1B1530"/>
          <w:sz w:val="21"/>
          <w:szCs w:val="21"/>
        </w:rPr>
        <w:t xml:space="preserve">Fixed supply of 1,000,000,000 $CYBERHOOD. No mint function after deployment. The allocation below is the draft from the game design document and must be reviewed by a tokenomics specialist.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1157"/>
        <w:gridCol w:w="5975"/>
      </w:tblGrid>
      <w:tr>
        <w:trPr>
          <w:tblHeader/>
        </w:trPr>
        <w:tc>
          <w:tcPr>
            <w:tcW w:type="dxa" w:w="2506"/>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Allocation</w:t>
            </w:r>
          </w:p>
        </w:tc>
        <w:tc>
          <w:tcPr>
            <w:tcW w:type="dxa" w:w="1157"/>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Share</w:t>
            </w:r>
          </w:p>
        </w:tc>
        <w:tc>
          <w:tcPr>
            <w:tcW w:type="dxa" w:w="5975"/>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Unlock</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Community &amp; players</w:t>
            </w:r>
          </w:p>
        </w:tc>
        <w:tc>
          <w:tcPr>
            <w:tcW w:type="dxa" w:w="1157"/>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40%</w:t>
            </w:r>
          </w:p>
        </w:tc>
        <w:tc>
          <w:tcPr>
            <w:tcW w:type="dxa" w:w="5975"/>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Season 0 airdrop 8% (50% at launch, 50% over 6 months) · season reward fund 22% (decreasing over 4 years) · ecosystem &amp; launchpad 10%</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Team</w:t>
            </w:r>
          </w:p>
        </w:tc>
        <w:tc>
          <w:tcPr>
            <w:tcW w:type="dxa" w:w="1157"/>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15%</w:t>
            </w:r>
          </w:p>
        </w:tc>
        <w:tc>
          <w:tcPr>
            <w:tcW w:type="dxa" w:w="5975"/>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12-month cliff, then 36 months linear</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Investors</w:t>
            </w:r>
          </w:p>
        </w:tc>
        <w:tc>
          <w:tcPr>
            <w:tcW w:type="dxa" w:w="1157"/>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15%</w:t>
            </w:r>
          </w:p>
        </w:tc>
        <w:tc>
          <w:tcPr>
            <w:tcW w:type="dxa" w:w="5975"/>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6–12-month cliff, then 24 months linear</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Liquidity</w:t>
            </w:r>
          </w:p>
        </w:tc>
        <w:tc>
          <w:tcPr>
            <w:tcW w:type="dxa" w:w="1157"/>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10%</w:t>
            </w:r>
          </w:p>
        </w:tc>
        <w:tc>
          <w:tcPr>
            <w:tcW w:type="dxa" w:w="5975"/>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Seeded into the v4 pool, locked 12 months by the HoodHook</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Treasury</w:t>
            </w:r>
          </w:p>
        </w:tc>
        <w:tc>
          <w:tcPr>
            <w:tcW w:type="dxa" w:w="1157"/>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15%</w:t>
            </w:r>
          </w:p>
        </w:tc>
        <w:tc>
          <w:tcPr>
            <w:tcW w:type="dxa" w:w="5975"/>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Safe multisig with timelock</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Marketing</w:t>
            </w:r>
          </w:p>
        </w:tc>
        <w:tc>
          <w:tcPr>
            <w:tcW w:type="dxa" w:w="1157"/>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5%</w:t>
            </w:r>
          </w:p>
        </w:tc>
        <w:tc>
          <w:tcPr>
            <w:tcW w:type="dxa" w:w="5975"/>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24 months linear</w:t>
            </w:r>
          </w:p>
        </w:tc>
      </w:tr>
    </w:tbl>
    <w:p>
      <w:pPr>
        <w:spacing w:after="160"/>
      </w:pPr>
    </w:p>
    <w:p>
      <w:pPr>
        <w:pStyle w:val="Heading3"/>
      </w:pPr>
      <w:r>
        <w:t xml:space="preserve">Sinks</w:t>
      </w:r>
    </w:p>
    <w:p>
      <w:pPr>
        <w:pStyle w:val="ListParagraph"/>
        <w:numPr>
          <w:ilvl w:val="0"/>
          <w:numId w:val="2"/>
        </w:numPr>
        <w:spacing w:after="80" w:line="288"/>
      </w:pPr>
      <w:r>
        <w:rPr>
          <w:rFonts w:ascii="Arial" w:cs="Arial" w:eastAsia="Arial" w:hAnsi="Arial"/>
          <w:color w:val="1B1530"/>
          <w:sz w:val="21"/>
          <w:szCs w:val="21"/>
        </w:rPr>
        <w:t xml:space="preserve">Mech repair, the largest sink: paid in $CYBERHOOD at the TWAP price; 50% burned, 50% to the Player Reward Pool.</w:t>
      </w:r>
    </w:p>
    <w:p>
      <w:pPr>
        <w:pStyle w:val="ListParagraph"/>
        <w:numPr>
          <w:ilvl w:val="0"/>
          <w:numId w:val="2"/>
        </w:numPr>
        <w:spacing w:after="80" w:line="288"/>
      </w:pPr>
      <w:r>
        <w:rPr>
          <w:rFonts w:ascii="Arial" w:cs="Arial" w:eastAsia="Arial" w:hAnsi="Arial"/>
          <w:color w:val="1B1530"/>
          <w:sz w:val="21"/>
          <w:szCs w:val="21"/>
        </w:rPr>
        <w:t xml:space="preserve">Marketplace and auction fee of 5%: 2% Player Reward Pool, 2% burned, 1% to the guild that holds the territory.</w:t>
      </w:r>
    </w:p>
    <w:p>
      <w:pPr>
        <w:pStyle w:val="ListParagraph"/>
        <w:numPr>
          <w:ilvl w:val="0"/>
          <w:numId w:val="2"/>
        </w:numPr>
        <w:spacing w:after="80" w:line="288"/>
      </w:pPr>
      <w:r>
        <w:rPr>
          <w:rFonts w:ascii="Arial" w:cs="Arial" w:eastAsia="Arial" w:hAnsi="Arial"/>
          <w:color w:val="1B1530"/>
          <w:sz w:val="21"/>
          <w:szCs w:val="21"/>
        </w:rPr>
        <w:t xml:space="preserve">Crafting, guild creation (100, burned), siege registration (50, burned), name changes and skins.</w:t>
      </w:r>
    </w:p>
    <w:p>
      <w:pPr>
        <w:pStyle w:val="ListParagraph"/>
        <w:numPr>
          <w:ilvl w:val="0"/>
          <w:numId w:val="2"/>
        </w:numPr>
        <w:spacing w:after="80" w:line="288"/>
      </w:pPr>
      <w:r>
        <w:rPr>
          <w:rFonts w:ascii="Arial" w:cs="Arial" w:eastAsia="Arial" w:hAnsi="Arial"/>
          <w:color w:val="1B1530"/>
          <w:sz w:val="21"/>
          <w:szCs w:val="21"/>
        </w:rPr>
        <w:t xml:space="preserve">The HoodHook buyback &amp; burn (30% of the protocol fee).</w:t>
      </w:r>
    </w:p>
    <w:p>
      <w:pPr>
        <w:pStyle w:val="Heading1"/>
      </w:pPr>
      <w:bookmarkStart w:name="b_rewards" w:id="16"/>
      <w:r>
        <w:t xml:space="preserve">8. Player Reward Pool</w:t>
      </w:r>
      <w:bookmarkEnd w:id="16"/>
    </w:p>
    <w:p>
      <w:pPr>
        <w:spacing w:after="140" w:line="300"/>
      </w:pPr>
      <w:r>
        <w:rPr>
          <w:rFonts w:ascii="Arial" w:cs="Arial" w:eastAsia="Arial" w:hAnsi="Arial"/>
          <w:color w:val="1B1530"/>
          <w:sz w:val="21"/>
          <w:szCs w:val="21"/>
        </w:rPr>
        <w:t xml:space="preserve">All player shares of fees land in the RewardPool contract, a public on-chain address. Each week the game server computes Hunter Scores, publishes a Merkle root and players claim. The pool is split as in the game design document.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1928"/>
        <w:gridCol w:w="5204"/>
      </w:tblGrid>
      <w:tr>
        <w:trPr>
          <w:tblHeader/>
        </w:trPr>
        <w:tc>
          <w:tcPr>
            <w:tcW w:type="dxa" w:w="2506"/>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Weekly share</w:t>
            </w:r>
          </w:p>
        </w:tc>
        <w:tc>
          <w:tcPr>
            <w:tcW w:type="dxa" w:w="1928"/>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Portion</w:t>
            </w:r>
          </w:p>
        </w:tc>
        <w:tc>
          <w:tcPr>
            <w:tcW w:type="dxa" w:w="5204"/>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Who receives it</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Activity fund</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50%</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Every Hunter, by the square root of weekly Hunter Score, capped per account</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Challenge fund</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20%</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Top 500 of the weekly solo challenge (normalised gear, pure skill)</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PvP fund</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15%</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Arena, contested maps and siege</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Guild fund</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15%</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Top 50 guilds, shared by contribution</w:t>
            </w:r>
          </w:p>
        </w:tc>
      </w:tr>
    </w:tbl>
    <w:p>
      <w:pPr>
        <w:spacing w:after="160"/>
      </w:pPr>
    </w:p>
    <w:p>
      <w:pPr>
        <w:spacing w:after="140" w:line="300"/>
      </w:pPr>
      <w:r>
        <w:rPr>
          <w:rFonts w:ascii="Arial" w:cs="Arial" w:eastAsia="Arial" w:hAnsi="Arial"/>
          <w:color w:val="1B1530"/>
          <w:sz w:val="21"/>
          <w:szCs w:val="21"/>
        </w:rPr>
        <w:t xml:space="preserve">Square-root weighting means a Hunter who plays four times as much earns twice as much, not four times. Together with the 2,000-point weekly cap and account verification, this keeps bots and whales from draining the pool.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301"/>
        <w:gridCol w:w="4337"/>
      </w:tblGrid>
      <w:tr>
        <w:trPr>
          <w:tblHeader/>
        </w:trPr>
        <w:tc>
          <w:tcPr>
            <w:tcW w:type="dxa" w:w="5301"/>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Revenue stream</w:t>
            </w:r>
          </w:p>
        </w:tc>
        <w:tc>
          <w:tcPr>
            <w:tcW w:type="dxa" w:w="4337"/>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Share to the Player Reward Pool</w:t>
            </w:r>
          </w:p>
        </w:tc>
      </w:tr>
      <w:tr>
        <w:tc>
          <w:tcPr>
            <w:tcW w:type="dxa" w:w="5301"/>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HoodHook protocol fee</w:t>
            </w:r>
          </w:p>
        </w:tc>
        <w:tc>
          <w:tcPr>
            <w:tcW w:type="dxa" w:w="4337"/>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40%</w:t>
            </w:r>
          </w:p>
        </w:tc>
      </w:tr>
      <w:tr>
        <w:tc>
          <w:tcPr>
            <w:tcW w:type="dxa" w:w="5301"/>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Marketplace and auction fee (5%)</w:t>
            </w:r>
          </w:p>
        </w:tc>
        <w:tc>
          <w:tcPr>
            <w:tcW w:type="dxa" w:w="4337"/>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40% of the fee (2% of the sale)</w:t>
            </w:r>
          </w:p>
        </w:tc>
      </w:tr>
      <w:tr>
        <w:tc>
          <w:tcPr>
            <w:tcW w:type="dxa" w:w="5301"/>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Launchpad listing fee and raise share</w:t>
            </w:r>
          </w:p>
        </w:tc>
        <w:tc>
          <w:tcPr>
            <w:tcW w:type="dxa" w:w="4337"/>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50%</w:t>
            </w:r>
          </w:p>
        </w:tc>
      </w:tr>
      <w:tr>
        <w:tc>
          <w:tcPr>
            <w:tcW w:type="dxa" w:w="5301"/>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Sponsorship: Hub billboards, branded stages, events</w:t>
            </w:r>
          </w:p>
        </w:tc>
        <w:tc>
          <w:tcPr>
            <w:tcW w:type="dxa" w:w="4337"/>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40%</w:t>
            </w:r>
          </w:p>
        </w:tc>
      </w:tr>
      <w:tr>
        <w:tc>
          <w:tcPr>
            <w:tcW w:type="dxa" w:w="5301"/>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Cosmetics, name changes, effects</w:t>
            </w:r>
          </w:p>
        </w:tc>
        <w:tc>
          <w:tcPr>
            <w:tcW w:type="dxa" w:w="4337"/>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30%</w:t>
            </w:r>
          </w:p>
        </w:tc>
      </w:tr>
      <w:tr>
        <w:tc>
          <w:tcPr>
            <w:tcW w:type="dxa" w:w="5301"/>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Genesis royalties (5%)</w:t>
            </w:r>
          </w:p>
        </w:tc>
        <w:tc>
          <w:tcPr>
            <w:tcW w:type="dxa" w:w="4337"/>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50% of the royalty</w:t>
            </w:r>
          </w:p>
        </w:tc>
      </w:tr>
    </w:tbl>
    <w:p>
      <w:pPr>
        <w:spacing w:after="160"/>
      </w:pPr>
    </w:p>
    <w:p>
      <w:pPr>
        <w:pStyle w:val="Heading1"/>
      </w:pPr>
      <w:bookmarkStart w:name="b_launchpad" w:id="17"/>
      <w:r>
        <w:t xml:space="preserve">9. Season launchpad on Uniswap v4</w:t>
      </w:r>
      <w:bookmarkEnd w:id="17"/>
    </w:p>
    <w:p>
      <w:pPr>
        <w:spacing w:after="140" w:line="300"/>
      </w:pPr>
      <w:r>
        <w:rPr>
          <w:rFonts w:ascii="Arial" w:cs="Arial" w:eastAsia="Arial" w:hAnsi="Arial"/>
          <w:color w:val="1B1530"/>
          <w:sz w:val="21"/>
          <w:szCs w:val="21"/>
        </w:rPr>
        <w:t xml:space="preserve">Partner projects launch their tokens each season in their own v4 pool with the SeasonLaunch hook, a variant of the HoodHook.</w:t>
      </w:r>
    </w:p>
    <w:p>
      <w:pPr>
        <w:pStyle w:val="ListParagraph"/>
        <w:numPr>
          <w:ilvl w:val="0"/>
          <w:numId w:val="2"/>
        </w:numPr>
        <w:spacing w:after="80" w:line="288"/>
      </w:pPr>
      <w:r>
        <w:rPr>
          <w:rFonts w:ascii="Arial" w:cs="Arial" w:eastAsia="Arial" w:hAnsi="Arial"/>
          <w:b/>
          <w:bCs/>
          <w:color w:val="1B1530"/>
          <w:sz w:val="21"/>
          <w:szCs w:val="21"/>
        </w:rPr>
        <w:t xml:space="preserve">Tiered allowlist.</w:t>
      </w:r>
      <w:r>
        <w:rPr>
          <w:rFonts w:ascii="Arial" w:cs="Arial" w:eastAsia="Arial" w:hAnsi="Arial"/>
          <w:color w:val="1B1530"/>
          <w:sz w:val="21"/>
          <w:szCs w:val="21"/>
        </w:rPr>
        <w:t xml:space="preserve"> For the first 2 hours only wallets in the season Merkle tree can buy: Bronze, Silver, Gold and Diamond key holders plus guild tickets, each with a per-wallet cap.</w:t>
      </w:r>
    </w:p>
    <w:p>
      <w:pPr>
        <w:pStyle w:val="ListParagraph"/>
        <w:numPr>
          <w:ilvl w:val="0"/>
          <w:numId w:val="2"/>
        </w:numPr>
        <w:spacing w:after="80" w:line="288"/>
      </w:pPr>
      <w:r>
        <w:rPr>
          <w:rFonts w:ascii="Arial" w:cs="Arial" w:eastAsia="Arial" w:hAnsi="Arial"/>
          <w:b/>
          <w:bCs/>
          <w:color w:val="1B1530"/>
          <w:sz w:val="21"/>
          <w:szCs w:val="21"/>
        </w:rPr>
        <w:t xml:space="preserve">Players first.</w:t>
      </w:r>
      <w:r>
        <w:rPr>
          <w:rFonts w:ascii="Arial" w:cs="Arial" w:eastAsia="Arial" w:hAnsi="Arial"/>
          <w:color w:val="1B1530"/>
          <w:sz w:val="21"/>
          <w:szCs w:val="21"/>
        </w:rPr>
        <w:t xml:space="preserve"> 30% of every public sale is reserved for CYBERHOOD players through these tiers.</w:t>
      </w:r>
    </w:p>
    <w:p>
      <w:pPr>
        <w:pStyle w:val="ListParagraph"/>
        <w:numPr>
          <w:ilvl w:val="0"/>
          <w:numId w:val="2"/>
        </w:numPr>
        <w:spacing w:after="80" w:line="288"/>
      </w:pPr>
      <w:r>
        <w:rPr>
          <w:rFonts w:ascii="Arial" w:cs="Arial" w:eastAsia="Arial" w:hAnsi="Arial"/>
          <w:b/>
          <w:bCs/>
          <w:color w:val="1B1530"/>
          <w:sz w:val="21"/>
          <w:szCs w:val="21"/>
        </w:rPr>
        <w:t xml:space="preserve">Fair price discovery.</w:t>
      </w:r>
      <w:r>
        <w:rPr>
          <w:rFonts w:ascii="Arial" w:cs="Arial" w:eastAsia="Arial" w:hAnsi="Arial"/>
          <w:color w:val="1B1530"/>
          <w:sz w:val="21"/>
          <w:szCs w:val="21"/>
        </w:rPr>
        <w:t xml:space="preserve"> The launch fee falls from 5% to 0.30% over 6 hours, which discourages snipers without a fixed price.</w:t>
      </w:r>
    </w:p>
    <w:p>
      <w:pPr>
        <w:pStyle w:val="ListParagraph"/>
        <w:numPr>
          <w:ilvl w:val="0"/>
          <w:numId w:val="2"/>
        </w:numPr>
        <w:spacing w:after="80" w:line="288"/>
      </w:pPr>
      <w:r>
        <w:rPr>
          <w:rFonts w:ascii="Arial" w:cs="Arial" w:eastAsia="Arial" w:hAnsi="Arial"/>
          <w:b/>
          <w:bCs/>
          <w:color w:val="1B1530"/>
          <w:sz w:val="21"/>
          <w:szCs w:val="21"/>
        </w:rPr>
        <w:t xml:space="preserve">Airdrop condition.</w:t>
      </w:r>
      <w:r>
        <w:rPr>
          <w:rFonts w:ascii="Arial" w:cs="Arial" w:eastAsia="Arial" w:hAnsi="Arial"/>
          <w:color w:val="1B1530"/>
          <w:sz w:val="21"/>
          <w:szCs w:val="21"/>
        </w:rPr>
        <w:t xml:space="preserve"> Each project airdrops 1–3% of its supply to Hunters who earned keys that season.</w:t>
      </w:r>
    </w:p>
    <w:p>
      <w:pPr>
        <w:pStyle w:val="ListParagraph"/>
        <w:numPr>
          <w:ilvl w:val="0"/>
          <w:numId w:val="2"/>
        </w:numPr>
        <w:spacing w:after="80" w:line="288"/>
      </w:pPr>
      <w:r>
        <w:rPr>
          <w:rFonts w:ascii="Arial" w:cs="Arial" w:eastAsia="Arial" w:hAnsi="Arial"/>
          <w:b/>
          <w:bCs/>
          <w:color w:val="1B1530"/>
          <w:sz w:val="21"/>
          <w:szCs w:val="21"/>
        </w:rPr>
        <w:t xml:space="preserve">Refunds.</w:t>
      </w:r>
      <w:r>
        <w:rPr>
          <w:rFonts w:ascii="Arial" w:cs="Arial" w:eastAsia="Arial" w:hAnsi="Arial"/>
          <w:color w:val="1B1530"/>
          <w:sz w:val="21"/>
          <w:szCs w:val="21"/>
        </w:rPr>
        <w:t xml:space="preserve"> If a sale is cancelled or fails a technical check, contributions held in escrow are refunded in full.</w:t>
      </w:r>
    </w:p>
    <w:p>
      <w:pPr>
        <w:pStyle w:val="Heading1"/>
      </w:pPr>
      <w:bookmarkStart w:name="b_flows" w:id="18"/>
      <w:r>
        <w:t xml:space="preserve">10. Key flows</w:t>
      </w:r>
      <w:bookmarkEnd w:id="18"/>
    </w:p>
    <w:p>
      <w:pPr>
        <w:pStyle w:val="Heading3"/>
      </w:pPr>
      <w:r>
        <w:t xml:space="preserve">A swap through the HoodHook</w:t>
      </w:r>
    </w:p>
    <w:p>
      <w:pPr>
        <w:pStyle w:val="ListParagraph"/>
        <w:numPr>
          <w:ilvl w:val="0"/>
          <w:numId w:val="3"/>
        </w:numPr>
        <w:spacing w:after="80" w:line="288"/>
      </w:pPr>
      <w:r>
        <w:rPr>
          <w:rFonts w:ascii="Arial" w:cs="Arial" w:eastAsia="Arial" w:hAnsi="Arial"/>
          <w:color w:val="1B1530"/>
          <w:sz w:val="21"/>
          <w:szCs w:val="21"/>
        </w:rPr>
        <w:t xml:space="preserve">The Hunter swaps ETH for $CYBERHOOD in the CYBERHOOD app. The router adds hookData: Genesis tokenId (optional) and referral code (optional).</w:t>
      </w:r>
    </w:p>
    <w:p>
      <w:pPr>
        <w:pStyle w:val="ListParagraph"/>
        <w:numPr>
          <w:ilvl w:val="0"/>
          <w:numId w:val="3"/>
        </w:numPr>
        <w:spacing w:after="80" w:line="288"/>
      </w:pPr>
      <w:r>
        <w:rPr>
          <w:rFonts w:ascii="Arial" w:cs="Arial" w:eastAsia="Arial" w:hAnsi="Arial"/>
          <w:color w:val="1B1530"/>
          <w:sz w:val="21"/>
          <w:szCs w:val="21"/>
        </w:rPr>
        <w:t xml:space="preserve">beforeSwap reads the verified trader from the router, applies the launch guard, and returns the dynamic LP fee with the override flag.</w:t>
      </w:r>
    </w:p>
    <w:p>
      <w:pPr>
        <w:pStyle w:val="ListParagraph"/>
        <w:numPr>
          <w:ilvl w:val="0"/>
          <w:numId w:val="3"/>
        </w:numPr>
        <w:spacing w:after="80" w:line="288"/>
      </w:pPr>
      <w:r>
        <w:rPr>
          <w:rFonts w:ascii="Arial" w:cs="Arial" w:eastAsia="Arial" w:hAnsi="Arial"/>
          <w:color w:val="1B1530"/>
          <w:sz w:val="21"/>
          <w:szCs w:val="21"/>
        </w:rPr>
        <w:t xml:space="preserve">The PoolManager executes the swap at that fee; liquidity providers earn the LP fee as usual.</w:t>
      </w:r>
    </w:p>
    <w:p>
      <w:pPr>
        <w:pStyle w:val="ListParagraph"/>
        <w:numPr>
          <w:ilvl w:val="0"/>
          <w:numId w:val="3"/>
        </w:numPr>
        <w:spacing w:after="80" w:line="288"/>
      </w:pPr>
      <w:r>
        <w:rPr>
          <w:rFonts w:ascii="Arial" w:cs="Arial" w:eastAsia="Arial" w:hAnsi="Arial"/>
          <w:color w:val="1B1530"/>
          <w:sz w:val="21"/>
          <w:szCs w:val="21"/>
        </w:rPr>
        <w:t xml:space="preserve">afterSwap takes the protocol fee (after any holder discount) from the output, credits the referrer, emits SwapXP and updates the oracle.</w:t>
      </w:r>
    </w:p>
    <w:p>
      <w:pPr>
        <w:pStyle w:val="ListParagraph"/>
        <w:numPr>
          <w:ilvl w:val="0"/>
          <w:numId w:val="3"/>
        </w:numPr>
        <w:spacing w:after="80" w:line="288"/>
      </w:pPr>
      <w:r>
        <w:rPr>
          <w:rFonts w:ascii="Arial" w:cs="Arial" w:eastAsia="Arial" w:hAnsi="Arial"/>
          <w:color w:val="1B1530"/>
          <w:sz w:val="21"/>
          <w:szCs w:val="21"/>
        </w:rPr>
        <w:t xml:space="preserve">Once per epoch, anyone can call sweep(): fees move to the RewardPool, the burn, the LP donate and operations.</w:t>
      </w:r>
    </w:p>
    <w:p>
      <w:pPr>
        <w:pStyle w:val="Heading3"/>
      </w:pPr>
      <w:r>
        <w:t xml:space="preserve">Minting a game item</w:t>
      </w:r>
    </w:p>
    <w:p>
      <w:pPr>
        <w:pStyle w:val="ListParagraph"/>
        <w:numPr>
          <w:ilvl w:val="0"/>
          <w:numId w:val="4"/>
        </w:numPr>
        <w:spacing w:after="80" w:line="288"/>
      </w:pPr>
      <w:r>
        <w:rPr>
          <w:rFonts w:ascii="Arial" w:cs="Arial" w:eastAsia="Arial" w:hAnsi="Arial"/>
          <w:color w:val="1B1530"/>
          <w:sz w:val="21"/>
          <w:szCs w:val="21"/>
        </w:rPr>
        <w:t xml:space="preserve">A drop lands in the Hunter's off-chain inventory.</w:t>
      </w:r>
    </w:p>
    <w:p>
      <w:pPr>
        <w:pStyle w:val="ListParagraph"/>
        <w:numPr>
          <w:ilvl w:val="0"/>
          <w:numId w:val="4"/>
        </w:numPr>
        <w:spacing w:after="80" w:line="288"/>
      </w:pPr>
      <w:r>
        <w:rPr>
          <w:rFonts w:ascii="Arial" w:cs="Arial" w:eastAsia="Arial" w:hAnsi="Arial"/>
          <w:color w:val="1B1530"/>
          <w:sz w:val="21"/>
          <w:szCs w:val="21"/>
        </w:rPr>
        <w:t xml:space="preserve">To mint it, the Hunter asks the server for an EIP-712 voucher. The server locks the off-chain copy so it cannot be duplicated.</w:t>
      </w:r>
    </w:p>
    <w:p>
      <w:pPr>
        <w:pStyle w:val="ListParagraph"/>
        <w:numPr>
          <w:ilvl w:val="0"/>
          <w:numId w:val="4"/>
        </w:numPr>
        <w:spacing w:after="80" w:line="288"/>
      </w:pPr>
      <w:r>
        <w:rPr>
          <w:rFonts w:ascii="Arial" w:cs="Arial" w:eastAsia="Arial" w:hAnsi="Arial"/>
          <w:color w:val="1B1530"/>
          <w:sz w:val="21"/>
          <w:szCs w:val="21"/>
        </w:rPr>
        <w:t xml:space="preserve">The Hunter calls GameItems.mint(voucher). Bringing an item back into the game burns it or locks it in escrow.</w:t>
      </w:r>
    </w:p>
    <w:p>
      <w:pPr>
        <w:pStyle w:val="Heading3"/>
      </w:pPr>
      <w:r>
        <w:t xml:space="preserve">Weekly rewards</w:t>
      </w:r>
    </w:p>
    <w:p>
      <w:pPr>
        <w:pStyle w:val="ListParagraph"/>
        <w:numPr>
          <w:ilvl w:val="0"/>
          <w:numId w:val="5"/>
        </w:numPr>
        <w:spacing w:after="80" w:line="288"/>
      </w:pPr>
      <w:r>
        <w:rPr>
          <w:rFonts w:ascii="Arial" w:cs="Arial" w:eastAsia="Arial" w:hAnsi="Arial"/>
          <w:color w:val="1B1530"/>
          <w:sz w:val="21"/>
          <w:szCs w:val="21"/>
        </w:rPr>
        <w:t xml:space="preserve">At the end of each week the server computes Hunter Scores with the square-root rule and caps.</w:t>
      </w:r>
    </w:p>
    <w:p>
      <w:pPr>
        <w:pStyle w:val="ListParagraph"/>
        <w:numPr>
          <w:ilvl w:val="0"/>
          <w:numId w:val="5"/>
        </w:numPr>
        <w:spacing w:after="80" w:line="288"/>
      </w:pPr>
      <w:r>
        <w:rPr>
          <w:rFonts w:ascii="Arial" w:cs="Arial" w:eastAsia="Arial" w:hAnsi="Arial"/>
          <w:color w:val="1B1530"/>
          <w:sz w:val="21"/>
          <w:szCs w:val="21"/>
        </w:rPr>
        <w:t xml:space="preserve">It publishes the Merkle root to the RewardPool through the Treasury timelock.</w:t>
      </w:r>
    </w:p>
    <w:p>
      <w:pPr>
        <w:pStyle w:val="ListParagraph"/>
        <w:numPr>
          <w:ilvl w:val="0"/>
          <w:numId w:val="5"/>
        </w:numPr>
        <w:spacing w:after="80" w:line="288"/>
      </w:pPr>
      <w:r>
        <w:rPr>
          <w:rFonts w:ascii="Arial" w:cs="Arial" w:eastAsia="Arial" w:hAnsi="Arial"/>
          <w:color w:val="1B1530"/>
          <w:sz w:val="21"/>
          <w:szCs w:val="21"/>
        </w:rPr>
        <w:t xml:space="preserve">Hunters claim at any time; unclaimed rewards roll into the next season after 90 days.</w:t>
      </w:r>
    </w:p>
    <w:p>
      <w:pPr>
        <w:pStyle w:val="Heading1"/>
      </w:pPr>
      <w:bookmarkStart w:name="b_security" w:id="19"/>
      <w:r>
        <w:t xml:space="preserve">11. Security and governance</w:t>
      </w:r>
      <w:bookmarkEnd w:id="19"/>
    </w:p>
    <w:p>
      <w:pPr>
        <w:pStyle w:val="ListParagraph"/>
        <w:numPr>
          <w:ilvl w:val="0"/>
          <w:numId w:val="2"/>
        </w:numPr>
        <w:spacing w:after="80" w:line="288"/>
      </w:pPr>
      <w:r>
        <w:rPr>
          <w:rFonts w:ascii="Arial" w:cs="Arial" w:eastAsia="Arial" w:hAnsi="Arial"/>
          <w:b/>
          <w:bCs/>
          <w:color w:val="1B1530"/>
          <w:sz w:val="21"/>
          <w:szCs w:val="21"/>
        </w:rPr>
        <w:t xml:space="preserve">Immutable core.</w:t>
      </w:r>
      <w:r>
        <w:rPr>
          <w:rFonts w:ascii="Arial" w:cs="Arial" w:eastAsia="Arial" w:hAnsi="Arial"/>
          <w:color w:val="1B1530"/>
          <w:sz w:val="21"/>
          <w:szCs w:val="21"/>
        </w:rPr>
        <w:t xml:space="preserve"> The HoodHook logic is not upgradeable. Parameters can only move inside ranges written as constants: LP fee at most 10%, protocol fee at most 0.50%, Player Reward Pool share at least 30%.</w:t>
      </w:r>
    </w:p>
    <w:p>
      <w:pPr>
        <w:pStyle w:val="ListParagraph"/>
        <w:numPr>
          <w:ilvl w:val="0"/>
          <w:numId w:val="2"/>
        </w:numPr>
        <w:spacing w:after="80" w:line="288"/>
      </w:pPr>
      <w:r>
        <w:rPr>
          <w:rFonts w:ascii="Arial" w:cs="Arial" w:eastAsia="Arial" w:hAnsi="Arial"/>
          <w:b/>
          <w:bCs/>
          <w:color w:val="1B1530"/>
          <w:sz w:val="21"/>
          <w:szCs w:val="21"/>
        </w:rPr>
        <w:t xml:space="preserve">Timelock.</w:t>
      </w:r>
      <w:r>
        <w:rPr>
          <w:rFonts w:ascii="Arial" w:cs="Arial" w:eastAsia="Arial" w:hAnsi="Arial"/>
          <w:color w:val="1B1530"/>
          <w:sz w:val="21"/>
          <w:szCs w:val="21"/>
        </w:rPr>
        <w:t xml:space="preserve"> Parameter changes go through a 3-of-5 Safe and a 48-hour timelock, so traders see every change before it applies.</w:t>
      </w:r>
    </w:p>
    <w:p>
      <w:pPr>
        <w:pStyle w:val="ListParagraph"/>
        <w:numPr>
          <w:ilvl w:val="0"/>
          <w:numId w:val="2"/>
        </w:numPr>
        <w:spacing w:after="80" w:line="288"/>
      </w:pPr>
      <w:r>
        <w:rPr>
          <w:rFonts w:ascii="Arial" w:cs="Arial" w:eastAsia="Arial" w:hAnsi="Arial"/>
          <w:b/>
          <w:bCs/>
          <w:color w:val="1B1530"/>
          <w:sz w:val="21"/>
          <w:szCs w:val="21"/>
        </w:rPr>
        <w:t xml:space="preserve">Pause scope.</w:t>
      </w:r>
      <w:r>
        <w:rPr>
          <w:rFonts w:ascii="Arial" w:cs="Arial" w:eastAsia="Arial" w:hAnsi="Arial"/>
          <w:color w:val="1B1530"/>
          <w:sz w:val="21"/>
          <w:szCs w:val="21"/>
        </w:rPr>
        <w:t xml:space="preserve"> The emergency pause only turns off discounts, XP and referral accounting. Swaps and liquidity exits keep working.</w:t>
      </w:r>
    </w:p>
    <w:p>
      <w:pPr>
        <w:pStyle w:val="ListParagraph"/>
        <w:numPr>
          <w:ilvl w:val="0"/>
          <w:numId w:val="2"/>
        </w:numPr>
        <w:spacing w:after="80" w:line="288"/>
      </w:pPr>
      <w:r>
        <w:rPr>
          <w:rFonts w:ascii="Arial" w:cs="Arial" w:eastAsia="Arial" w:hAnsi="Arial"/>
          <w:b/>
          <w:bCs/>
          <w:color w:val="1B1530"/>
          <w:sz w:val="21"/>
          <w:szCs w:val="21"/>
        </w:rPr>
        <w:t xml:space="preserve">Delta accounting.</w:t>
      </w:r>
      <w:r>
        <w:rPr>
          <w:rFonts w:ascii="Arial" w:cs="Arial" w:eastAsia="Arial" w:hAnsi="Arial"/>
          <w:color w:val="1B1530"/>
          <w:sz w:val="21"/>
          <w:szCs w:val="21"/>
        </w:rPr>
        <w:t xml:space="preserve"> Every callback must leave the hook's balance with the PoolManager settled. Invariant and fuzz tests cover every return-delta path.</w:t>
      </w:r>
    </w:p>
    <w:p>
      <w:pPr>
        <w:pStyle w:val="ListParagraph"/>
        <w:numPr>
          <w:ilvl w:val="0"/>
          <w:numId w:val="2"/>
        </w:numPr>
        <w:spacing w:after="80" w:line="288"/>
      </w:pPr>
      <w:r>
        <w:rPr>
          <w:rFonts w:ascii="Arial" w:cs="Arial" w:eastAsia="Arial" w:hAnsi="Arial"/>
          <w:b/>
          <w:bCs/>
          <w:color w:val="1B1530"/>
          <w:sz w:val="21"/>
          <w:szCs w:val="21"/>
        </w:rPr>
        <w:t xml:space="preserve">Gas budget.</w:t>
      </w:r>
      <w:r>
        <w:rPr>
          <w:rFonts w:ascii="Arial" w:cs="Arial" w:eastAsia="Arial" w:hAnsi="Arial"/>
          <w:color w:val="1B1530"/>
          <w:sz w:val="21"/>
          <w:szCs w:val="21"/>
        </w:rPr>
        <w:t xml:space="preserve"> Each callback is kept small (no loops over users, no external calls except ownerOf and msgSender) so swaps stay affordable.</w:t>
      </w:r>
    </w:p>
    <w:p>
      <w:pPr>
        <w:pStyle w:val="ListParagraph"/>
        <w:numPr>
          <w:ilvl w:val="0"/>
          <w:numId w:val="2"/>
        </w:numPr>
        <w:spacing w:after="80" w:line="288"/>
      </w:pPr>
      <w:r>
        <w:rPr>
          <w:rFonts w:ascii="Arial" w:cs="Arial" w:eastAsia="Arial" w:hAnsi="Arial"/>
          <w:b/>
          <w:bCs/>
          <w:color w:val="1B1530"/>
          <w:sz w:val="21"/>
          <w:szCs w:val="21"/>
        </w:rPr>
        <w:t xml:space="preserve">Audits.</w:t>
      </w:r>
      <w:r>
        <w:rPr>
          <w:rFonts w:ascii="Arial" w:cs="Arial" w:eastAsia="Arial" w:hAnsi="Arial"/>
          <w:color w:val="1B1530"/>
          <w:sz w:val="21"/>
          <w:szCs w:val="21"/>
        </w:rPr>
        <w:t xml:space="preserve"> Two independent audits of the hook and the RewardPool before mainnet, plus a public bug bounty.</w:t>
      </w:r>
    </w:p>
    <w:p>
      <w:pPr>
        <w:pStyle w:val="ListParagraph"/>
        <w:numPr>
          <w:ilvl w:val="0"/>
          <w:numId w:val="2"/>
        </w:numPr>
        <w:spacing w:after="80" w:line="288"/>
      </w:pPr>
      <w:r>
        <w:rPr>
          <w:rFonts w:ascii="Arial" w:cs="Arial" w:eastAsia="Arial" w:hAnsi="Arial"/>
          <w:b/>
          <w:bCs/>
          <w:color w:val="1B1530"/>
          <w:sz w:val="21"/>
          <w:szCs w:val="21"/>
        </w:rPr>
        <w:t xml:space="preserve">Oracle safety.</w:t>
      </w:r>
      <w:r>
        <w:rPr>
          <w:rFonts w:ascii="Arial" w:cs="Arial" w:eastAsia="Arial" w:hAnsi="Arial"/>
          <w:color w:val="1B1530"/>
          <w:sz w:val="21"/>
          <w:szCs w:val="21"/>
        </w:rPr>
        <w:t xml:space="preserve"> In-game prices use a 30-minute TWAP; the circuit breaker uses a 1-hour TWAP.</w:t>
      </w:r>
    </w:p>
    <w:p>
      <w:pPr>
        <w:pStyle w:val="ListParagraph"/>
        <w:numPr>
          <w:ilvl w:val="0"/>
          <w:numId w:val="2"/>
        </w:numPr>
        <w:spacing w:after="80" w:line="288"/>
      </w:pPr>
      <w:r>
        <w:rPr>
          <w:rFonts w:ascii="Arial" w:cs="Arial" w:eastAsia="Arial" w:hAnsi="Arial"/>
          <w:b/>
          <w:bCs/>
          <w:color w:val="1B1530"/>
          <w:sz w:val="21"/>
          <w:szCs w:val="21"/>
        </w:rPr>
        <w:t xml:space="preserve">Legal.</w:t>
      </w:r>
      <w:r>
        <w:rPr>
          <w:rFonts w:ascii="Arial" w:cs="Arial" w:eastAsia="Arial" w:hAnsi="Arial"/>
          <w:color w:val="1B1530"/>
          <w:sz w:val="21"/>
          <w:szCs w:val="21"/>
        </w:rPr>
        <w:t xml:space="preserve"> No profit promises. Rewards follow activity, not holdings. The reward pool, rentals and launchpad need legal review in each target market before launch.</w:t>
      </w:r>
    </w:p>
    <w:p>
      <w:pPr>
        <w:pStyle w:val="Heading1"/>
      </w:pPr>
      <w:bookmarkStart w:name="b_roadmap" w:id="20"/>
      <w:r>
        <w:t xml:space="preserve">12. Roadmap</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1928"/>
        <w:gridCol w:w="5204"/>
      </w:tblGrid>
      <w:tr>
        <w:trPr>
          <w:tblHeader/>
        </w:trPr>
        <w:tc>
          <w:tcPr>
            <w:tcW w:type="dxa" w:w="2506"/>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Phase</w:t>
            </w:r>
          </w:p>
        </w:tc>
        <w:tc>
          <w:tcPr>
            <w:tcW w:type="dxa" w:w="1928"/>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Target</w:t>
            </w:r>
          </w:p>
        </w:tc>
        <w:tc>
          <w:tcPr>
            <w:tcW w:type="dxa" w:w="5204"/>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Deliverables</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Season 0 · Early access</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Now</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Browser demo, Hunter Pass, Genesis preview, Season 0 points</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Hook testnet</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Q4 2026</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HoodHook and RewardPool on a v4 testnet, public fee dashboard, bug bounty</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Audit</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Q1 2027</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Two audits, invariant test suite, parameter review with testnet data</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Genesis mint</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Q1 2027</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444 Genesis NFTs, allowlist then public</w:t>
            </w:r>
          </w:p>
        </w:tc>
      </w:tr>
      <w:tr>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Token &amp; pool launch</w:t>
            </w:r>
          </w:p>
        </w:tc>
        <w:tc>
          <w:tcPr>
            <w:tcW w:type="dxa" w:w="1928"/>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Q2 2027</w:t>
            </w:r>
          </w:p>
        </w:tc>
        <w:tc>
          <w:tcPr>
            <w:tcW w:type="dxa" w:w="5204"/>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$CYBERHOOD, ETH / $CYBERHOOD pool with HoodHook, Season 0 airdrop</w:t>
            </w:r>
          </w:p>
        </w:tc>
      </w:tr>
      <w:tr>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Season 1</w:t>
            </w:r>
          </w:p>
        </w:tc>
        <w:tc>
          <w:tcPr>
            <w:tcW w:type="dxa" w:w="1928"/>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Q2 2027</w:t>
            </w:r>
          </w:p>
        </w:tc>
        <w:tc>
          <w:tcPr>
            <w:tcW w:type="dxa" w:w="5204"/>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Weekly reward claims, guild vaults, first SeasonLaunch partner</w:t>
            </w:r>
          </w:p>
        </w:tc>
      </w:tr>
    </w:tbl>
    <w:p>
      <w:pPr>
        <w:spacing w:after="160"/>
      </w:pPr>
    </w:p>
    <w:p>
      <w:pPr>
        <w:pStyle w:val="Heading1"/>
        <w:pageBreakBefore/>
      </w:pPr>
      <w:bookmarkStart w:name="b_parameters" w:id="21"/>
      <w:r>
        <w:t xml:space="preserve">13. Parameter sheet</w:t>
      </w:r>
      <w:bookmarkEnd w:id="2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99"/>
        <w:gridCol w:w="4433"/>
        <w:gridCol w:w="2506"/>
      </w:tblGrid>
      <w:tr>
        <w:trPr>
          <w:tblHeader/>
        </w:trPr>
        <w:tc>
          <w:tcPr>
            <w:tcW w:type="dxa" w:w="2699"/>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Parameter</w:t>
            </w:r>
          </w:p>
        </w:tc>
        <w:tc>
          <w:tcPr>
            <w:tcW w:type="dxa" w:w="4433"/>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Value</w:t>
            </w:r>
          </w:p>
        </w:tc>
        <w:tc>
          <w:tcPr>
            <w:tcW w:type="dxa" w:w="2506"/>
            <w:tcBorders>
              <w:top w:val="single" w:color="D9D4E8" w:sz="4"/>
              <w:left w:val="single" w:color="D9D4E8" w:sz="4"/>
              <w:bottom w:val="single" w:color="D9D4E8" w:sz="4"/>
              <w:right w:val="single" w:color="D9D4E8" w:sz="4"/>
            </w:tcBorders>
            <w:shd w:fill="1A1033" w:color="auto" w:val="clear"/>
            <w:tcMar>
              <w:top w:type="dxa" w:w="80"/>
              <w:left w:type="dxa" w:w="120"/>
              <w:bottom w:type="dxa" w:w="80"/>
              <w:right w:type="dxa" w:w="120"/>
            </w:tcMar>
          </w:tcPr>
          <w:p>
            <w:r>
              <w:rPr>
                <w:rFonts w:ascii="Arial" w:cs="Arial" w:eastAsia="Arial" w:hAnsi="Arial"/>
                <w:b/>
                <w:bCs/>
                <w:color w:val="FFFFFF"/>
                <w:sz w:val="19"/>
                <w:szCs w:val="19"/>
              </w:rPr>
              <w:t xml:space="preserve">Range allowed by code</w:t>
            </w:r>
          </w:p>
        </w:tc>
      </w:tr>
      <w:tr>
        <w:tc>
          <w:tcPr>
            <w:tcW w:type="dxa" w:w="2699"/>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Pool</w:t>
            </w:r>
          </w:p>
        </w:tc>
        <w:tc>
          <w:tcPr>
            <w:tcW w:type="dxa" w:w="4433"/>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Native ETH / $CYBERHOOD, dynamic fee, tick spacing 60</w:t>
            </w:r>
          </w:p>
        </w:tc>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Fixed</w:t>
            </w:r>
          </w:p>
        </w:tc>
      </w:tr>
      <w:tr>
        <w:tc>
          <w:tcPr>
            <w:tcW w:type="dxa" w:w="2699"/>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Base LP fee</w:t>
            </w:r>
          </w:p>
        </w:tc>
        <w:tc>
          <w:tcPr>
            <w:tcW w:type="dxa" w:w="4433"/>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3000 (0.30%)</w:t>
            </w:r>
          </w:p>
        </w:tc>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500 – 10,000</w:t>
            </w:r>
          </w:p>
        </w:tc>
      </w:tr>
      <w:tr>
        <w:tc>
          <w:tcPr>
            <w:tcW w:type="dxa" w:w="2699"/>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Launch sell fee / decay</w:t>
            </w:r>
          </w:p>
        </w:tc>
        <w:tc>
          <w:tcPr>
            <w:tcW w:type="dxa" w:w="4433"/>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80,000 (8%) over 72 h</w:t>
            </w:r>
          </w:p>
        </w:tc>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 100,000</w:t>
            </w:r>
          </w:p>
        </w:tc>
      </w:tr>
      <w:tr>
        <w:tc>
          <w:tcPr>
            <w:tcW w:type="dxa" w:w="2699"/>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Launch buy fee / decay</w:t>
            </w:r>
          </w:p>
        </w:tc>
        <w:tc>
          <w:tcPr>
            <w:tcW w:type="dxa" w:w="4433"/>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10,000 (1%) over 24 h</w:t>
            </w:r>
          </w:p>
        </w:tc>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 100,000</w:t>
            </w:r>
          </w:p>
        </w:tc>
      </w:tr>
      <w:tr>
        <w:tc>
          <w:tcPr>
            <w:tcW w:type="dxa" w:w="2699"/>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Volatility surcharge</w:t>
            </w:r>
          </w:p>
        </w:tc>
        <w:tc>
          <w:tcPr>
            <w:tcW w:type="dxa" w:w="4433"/>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+2000 when &gt; 100 ticks per block</w:t>
            </w:r>
          </w:p>
        </w:tc>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0 – 10,000</w:t>
            </w:r>
          </w:p>
        </w:tc>
      </w:tr>
      <w:tr>
        <w:tc>
          <w:tcPr>
            <w:tcW w:type="dxa" w:w="2699"/>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Circuit breaker</w:t>
            </w:r>
          </w:p>
        </w:tc>
        <w:tc>
          <w:tcPr>
            <w:tcW w:type="dxa" w:w="4433"/>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+20,000 on sells for 30 min after −25% TWAP 1 h</w:t>
            </w:r>
          </w:p>
        </w:tc>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0 – 30,000</w:t>
            </w:r>
          </w:p>
        </w:tc>
      </w:tr>
      <w:tr>
        <w:tc>
          <w:tcPr>
            <w:tcW w:type="dxa" w:w="2699"/>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Protocol fee</w:t>
            </w:r>
          </w:p>
        </w:tc>
        <w:tc>
          <w:tcPr>
            <w:tcW w:type="dxa" w:w="4433"/>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2000 (0.20%)</w:t>
            </w:r>
          </w:p>
        </w:tc>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0 – 5000</w:t>
            </w:r>
          </w:p>
        </w:tc>
      </w:tr>
      <w:tr>
        <w:tc>
          <w:tcPr>
            <w:tcW w:type="dxa" w:w="2699"/>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Protocol fee split</w:t>
            </w:r>
          </w:p>
        </w:tc>
        <w:tc>
          <w:tcPr>
            <w:tcW w:type="dxa" w:w="4433"/>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40 / 30 / 20 / 10</w:t>
            </w:r>
          </w:p>
        </w:tc>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Player share ≥ 30%</w:t>
            </w:r>
          </w:p>
        </w:tc>
      </w:tr>
      <w:tr>
        <w:tc>
          <w:tcPr>
            <w:tcW w:type="dxa" w:w="2699"/>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Holder discount</w:t>
            </w:r>
          </w:p>
        </w:tc>
        <w:tc>
          <w:tcPr>
            <w:tcW w:type="dxa" w:w="4433"/>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10 – 50% by rarity</w:t>
            </w:r>
          </w:p>
        </w:tc>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0 – 50%</w:t>
            </w:r>
          </w:p>
        </w:tc>
      </w:tr>
      <w:tr>
        <w:tc>
          <w:tcPr>
            <w:tcW w:type="dxa" w:w="2699"/>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Swap XP</w:t>
            </w:r>
          </w:p>
        </w:tc>
        <w:tc>
          <w:tcPr>
            <w:tcW w:type="dxa" w:w="4433"/>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1 point per 0.01 ETH · 0.3 ETH per day · 200 per week</w:t>
            </w:r>
          </w:p>
        </w:tc>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Off-chain</w:t>
            </w:r>
          </w:p>
        </w:tc>
      </w:tr>
      <w:tr>
        <w:tc>
          <w:tcPr>
            <w:tcW w:type="dxa" w:w="2699"/>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Referral rebate</w:t>
            </w:r>
          </w:p>
        </w:tc>
        <w:tc>
          <w:tcPr>
            <w:tcW w:type="dxa" w:w="4433"/>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10% of protocol fee, 180 days</w:t>
            </w:r>
          </w:p>
        </w:tc>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0 – 20%</w:t>
            </w:r>
          </w:p>
        </w:tc>
      </w:tr>
      <w:tr>
        <w:tc>
          <w:tcPr>
            <w:tcW w:type="dxa" w:w="2699"/>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Launch guard</w:t>
            </w:r>
          </w:p>
        </w:tc>
        <w:tc>
          <w:tcPr>
            <w:tcW w:type="dxa" w:w="4433"/>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30 blocks, 0.1% of supply per swap</w:t>
            </w:r>
          </w:p>
        </w:tc>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Fixed at deploy</w:t>
            </w:r>
          </w:p>
        </w:tc>
      </w:tr>
      <w:tr>
        <w:tc>
          <w:tcPr>
            <w:tcW w:type="dxa" w:w="2699"/>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Protocol LP lock</w:t>
            </w:r>
          </w:p>
        </w:tc>
        <w:tc>
          <w:tcPr>
            <w:tcW w:type="dxa" w:w="4433"/>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12 months</w:t>
            </w:r>
          </w:p>
        </w:tc>
        <w:tc>
          <w:tcPr>
            <w:tcW w:type="dxa" w:w="2506"/>
            <w:tcBorders>
              <w:top w:val="single" w:color="D9D4E8" w:sz="4"/>
              <w:left w:val="single" w:color="D9D4E8" w:sz="4"/>
              <w:bottom w:val="single" w:color="D9D4E8" w:sz="4"/>
              <w:right w:val="single" w:color="D9D4E8" w:sz="4"/>
            </w:tcBorders>
            <w:tcMar>
              <w:top w:type="dxa" w:w="80"/>
              <w:left w:type="dxa" w:w="120"/>
              <w:bottom w:type="dxa" w:w="80"/>
              <w:right w:type="dxa" w:w="120"/>
            </w:tcMar>
          </w:tcPr>
          <w:p>
            <w:r>
              <w:rPr>
                <w:rFonts w:ascii="Arial" w:cs="Arial" w:eastAsia="Arial" w:hAnsi="Arial"/>
                <w:b w:val="false"/>
                <w:bCs w:val="false"/>
                <w:color w:val="1B1530"/>
                <w:sz w:val="19"/>
                <w:szCs w:val="19"/>
              </w:rPr>
              <w:t xml:space="preserve">Fixed at deploy</w:t>
            </w:r>
          </w:p>
        </w:tc>
      </w:tr>
      <w:tr>
        <w:tc>
          <w:tcPr>
            <w:tcW w:type="dxa" w:w="2699"/>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Governance</w:t>
            </w:r>
          </w:p>
        </w:tc>
        <w:tc>
          <w:tcPr>
            <w:tcW w:type="dxa" w:w="4433"/>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Safe 3/5 + 48 h timelock</w:t>
            </w:r>
          </w:p>
        </w:tc>
        <w:tc>
          <w:tcPr>
            <w:tcW w:type="dxa" w:w="2506"/>
            <w:tcBorders>
              <w:top w:val="single" w:color="D9D4E8" w:sz="4"/>
              <w:left w:val="single" w:color="D9D4E8" w:sz="4"/>
              <w:bottom w:val="single" w:color="D9D4E8" w:sz="4"/>
              <w:right w:val="single" w:color="D9D4E8" w:sz="4"/>
            </w:tcBorders>
            <w:shd w:fill="F5F3FA" w:color="auto" w:val="clear"/>
            <w:tcMar>
              <w:top w:type="dxa" w:w="80"/>
              <w:left w:type="dxa" w:w="120"/>
              <w:bottom w:type="dxa" w:w="80"/>
              <w:right w:type="dxa" w:w="120"/>
            </w:tcMar>
          </w:tcPr>
          <w:p>
            <w:r>
              <w:rPr>
                <w:rFonts w:ascii="Arial" w:cs="Arial" w:eastAsia="Arial" w:hAnsi="Arial"/>
                <w:b w:val="false"/>
                <w:bCs w:val="false"/>
                <w:color w:val="1B1530"/>
                <w:sz w:val="19"/>
                <w:szCs w:val="19"/>
              </w:rPr>
              <w:t xml:space="preserve">—</w:t>
            </w:r>
          </w:p>
        </w:tc>
      </w:tr>
    </w:tbl>
    <w:p>
      <w:pPr>
        <w:spacing w:after="160"/>
      </w:pPr>
    </w:p>
    <w:p>
      <w:pPr>
        <w:spacing w:after="140" w:line="300"/>
      </w:pPr>
      <w:r>
        <w:rPr>
          <w:rFonts w:ascii="Arial" w:cs="Arial" w:eastAsia="Arial" w:hAnsi="Arial"/>
          <w:color w:val="1B1530"/>
          <w:sz w:val="21"/>
          <w:szCs w:val="21"/>
        </w:rPr>
        <w:t xml:space="preserve">Fees in this sheet are in Uniswap units of hundredths of a basis point (1,000,000 = 100%).</w:t>
      </w:r>
    </w:p>
    <w:p>
      <w:pPr>
        <w:pStyle w:val="Heading1"/>
        <w:pageBreakBefore/>
      </w:pPr>
      <w:bookmarkStart w:name="b_appendix" w:id="22"/>
      <w:r>
        <w:t xml:space="preserve">Appendix · HoodHook interface sketch</w:t>
      </w:r>
      <w:bookmarkEnd w:id="22"/>
    </w:p>
    <w:p>
      <w:pPr>
        <w:spacing w:after="60" w:before="120"/>
      </w:pPr>
      <w:r>
        <w:rPr>
          <w:rFonts w:ascii="Consolas" w:cs="Consolas" w:eastAsia="Consolas" w:hAnsi="Consolas"/>
          <w:b/>
          <w:bCs/>
          <w:color w:val="0AA5BF"/>
          <w:sz w:val="16"/>
          <w:szCs w:val="16"/>
        </w:rPr>
        <w:t xml:space="preserve">SOLIDITY (SKETCH, NOT AUDITED)</w:t>
      </w:r>
    </w:p>
    <w:p>
      <w:pPr>
        <w:shd w:fill="15102A" w:color="auto" w:val="clear"/>
        <w:spacing w:after="0" w:before="0" w:line="252"/>
        <w:ind w:left="120" w:right="120"/>
      </w:pPr>
      <w:r>
        <w:rPr>
          <w:rFonts w:ascii="Consolas" w:cs="Consolas" w:eastAsia="Consolas" w:hAnsi="Consolas"/>
          <w:color w:val="E9E6F5"/>
          <w:sz w:val="16"/>
          <w:szCs w:val="16"/>
        </w:rPr>
        <w:t xml:space="preserve">contract HoodHook is BaseHook {</w:t>
      </w:r>
    </w:p>
    <w:p>
      <w:pPr>
        <w:shd w:fill="15102A" w:color="auto" w:val="clear"/>
        <w:spacing w:after="0" w:before="0" w:line="252"/>
        <w:ind w:left="120" w:right="120"/>
      </w:pPr>
      <w:r>
        <w:rPr>
          <w:rFonts w:ascii="Consolas" w:cs="Consolas" w:eastAsia="Consolas" w:hAnsi="Consolas"/>
          <w:color w:val="E9E6F5"/>
          <w:sz w:val="16"/>
          <w:szCs w:val="16"/>
        </w:rPr>
        <w:t xml:space="preserve">    uint24 public constant MAX_LP_FEE = 100_000;        // 10%</w:t>
      </w:r>
    </w:p>
    <w:p>
      <w:pPr>
        <w:shd w:fill="15102A" w:color="auto" w:val="clear"/>
        <w:spacing w:after="0" w:before="0" w:line="252"/>
        <w:ind w:left="120" w:right="120"/>
      </w:pPr>
      <w:r>
        <w:rPr>
          <w:rFonts w:ascii="Consolas" w:cs="Consolas" w:eastAsia="Consolas" w:hAnsi="Consolas"/>
          <w:color w:val="E9E6F5"/>
          <w:sz w:val="16"/>
          <w:szCs w:val="16"/>
        </w:rPr>
        <w:t xml:space="preserve">    uint24 public constant MAX_PROTOCOL_FEE = 5_000;    // 0.50%</w:t>
      </w:r>
    </w:p>
    <w:p>
      <w:pPr>
        <w:shd w:fill="15102A" w:color="auto" w:val="clear"/>
        <w:spacing w:after="0" w:before="0" w:line="252"/>
        <w:ind w:left="120" w:right="120"/>
      </w:pPr>
      <w:r>
        <w:rPr>
          <w:rFonts w:ascii="Consolas" w:cs="Consolas" w:eastAsia="Consolas" w:hAnsi="Consolas"/>
          <w:color w:val="E9E6F5"/>
          <w:sz w:val="16"/>
          <w:szCs w:val="16"/>
        </w:rPr>
        <w:t xml:space="preserve"> </w:t>
      </w:r>
    </w:p>
    <w:p>
      <w:pPr>
        <w:shd w:fill="15102A" w:color="auto" w:val="clear"/>
        <w:spacing w:after="0" w:before="0" w:line="252"/>
        <w:ind w:left="120" w:right="120"/>
      </w:pPr>
      <w:r>
        <w:rPr>
          <w:rFonts w:ascii="Consolas" w:cs="Consolas" w:eastAsia="Consolas" w:hAnsi="Consolas"/>
          <w:color w:val="E9E6F5"/>
          <w:sz w:val="16"/>
          <w:szCs w:val="16"/>
        </w:rPr>
        <w:t xml:space="preserve">    function getHookPermissions() public pure override</w:t>
      </w:r>
    </w:p>
    <w:p>
      <w:pPr>
        <w:shd w:fill="15102A" w:color="auto" w:val="clear"/>
        <w:spacing w:after="0" w:before="0" w:line="252"/>
        <w:ind w:left="120" w:right="120"/>
      </w:pPr>
      <w:r>
        <w:rPr>
          <w:rFonts w:ascii="Consolas" w:cs="Consolas" w:eastAsia="Consolas" w:hAnsi="Consolas"/>
          <w:color w:val="E9E6F5"/>
          <w:sz w:val="16"/>
          <w:szCs w:val="16"/>
        </w:rPr>
        <w:t xml:space="preserve">        returns (Hooks.Permissions memory p)</w:t>
      </w:r>
    </w:p>
    <w:p>
      <w:pPr>
        <w:shd w:fill="15102A" w:color="auto" w:val="clear"/>
        <w:spacing w:after="0" w:before="0" w:line="252"/>
        <w:ind w:left="120" w:right="120"/>
      </w:pPr>
      <w:r>
        <w:rPr>
          <w:rFonts w:ascii="Consolas" w:cs="Consolas" w:eastAsia="Consolas" w:hAnsi="Consolas"/>
          <w:color w:val="E9E6F5"/>
          <w:sz w:val="16"/>
          <w:szCs w:val="16"/>
        </w:rPr>
        <w:t xml:space="preserve">    {</w:t>
      </w:r>
    </w:p>
    <w:p>
      <w:pPr>
        <w:shd w:fill="15102A" w:color="auto" w:val="clear"/>
        <w:spacing w:after="0" w:before="0" w:line="252"/>
        <w:ind w:left="120" w:right="120"/>
      </w:pPr>
      <w:r>
        <w:rPr>
          <w:rFonts w:ascii="Consolas" w:cs="Consolas" w:eastAsia="Consolas" w:hAnsi="Consolas"/>
          <w:color w:val="E9E6F5"/>
          <w:sz w:val="16"/>
          <w:szCs w:val="16"/>
        </w:rPr>
        <w:t xml:space="preserve">        p.beforeInitialize = true;      p.afterInitialize = true;</w:t>
      </w:r>
    </w:p>
    <w:p>
      <w:pPr>
        <w:shd w:fill="15102A" w:color="auto" w:val="clear"/>
        <w:spacing w:after="0" w:before="0" w:line="252"/>
        <w:ind w:left="120" w:right="120"/>
      </w:pPr>
      <w:r>
        <w:rPr>
          <w:rFonts w:ascii="Consolas" w:cs="Consolas" w:eastAsia="Consolas" w:hAnsi="Consolas"/>
          <w:color w:val="E9E6F5"/>
          <w:sz w:val="16"/>
          <w:szCs w:val="16"/>
        </w:rPr>
        <w:t xml:space="preserve">        p.beforeAddLiquidity = true;    p.afterAddLiquidity = true;</w:t>
      </w:r>
    </w:p>
    <w:p>
      <w:pPr>
        <w:shd w:fill="15102A" w:color="auto" w:val="clear"/>
        <w:spacing w:after="0" w:before="0" w:line="252"/>
        <w:ind w:left="120" w:right="120"/>
      </w:pPr>
      <w:r>
        <w:rPr>
          <w:rFonts w:ascii="Consolas" w:cs="Consolas" w:eastAsia="Consolas" w:hAnsi="Consolas"/>
          <w:color w:val="E9E6F5"/>
          <w:sz w:val="16"/>
          <w:szCs w:val="16"/>
        </w:rPr>
        <w:t xml:space="preserve">        p.beforeRemoveLiquidity = true;</w:t>
      </w:r>
    </w:p>
    <w:p>
      <w:pPr>
        <w:shd w:fill="15102A" w:color="auto" w:val="clear"/>
        <w:spacing w:after="0" w:before="0" w:line="252"/>
        <w:ind w:left="120" w:right="120"/>
      </w:pPr>
      <w:r>
        <w:rPr>
          <w:rFonts w:ascii="Consolas" w:cs="Consolas" w:eastAsia="Consolas" w:hAnsi="Consolas"/>
          <w:color w:val="E9E6F5"/>
          <w:sz w:val="16"/>
          <w:szCs w:val="16"/>
        </w:rPr>
        <w:t xml:space="preserve">        p.beforeSwap = true;            p.afterSwap = true;</w:t>
      </w:r>
    </w:p>
    <w:p>
      <w:pPr>
        <w:shd w:fill="15102A" w:color="auto" w:val="clear"/>
        <w:spacing w:after="0" w:before="0" w:line="252"/>
        <w:ind w:left="120" w:right="120"/>
      </w:pPr>
      <w:r>
        <w:rPr>
          <w:rFonts w:ascii="Consolas" w:cs="Consolas" w:eastAsia="Consolas" w:hAnsi="Consolas"/>
          <w:color w:val="E9E6F5"/>
          <w:sz w:val="16"/>
          <w:szCs w:val="16"/>
        </w:rPr>
        <w:t xml:space="preserve">        p.afterSwapReturnDelta = true;</w:t>
      </w:r>
    </w:p>
    <w:p>
      <w:pPr>
        <w:shd w:fill="15102A" w:color="auto" w:val="clear"/>
        <w:spacing w:after="0" w:before="0" w:line="252"/>
        <w:ind w:left="120" w:right="120"/>
      </w:pPr>
      <w:r>
        <w:rPr>
          <w:rFonts w:ascii="Consolas" w:cs="Consolas" w:eastAsia="Consolas" w:hAnsi="Consolas"/>
          <w:color w:val="E9E6F5"/>
          <w:sz w:val="16"/>
          <w:szCs w:val="16"/>
        </w:rPr>
        <w:t xml:space="preserve">    }</w:t>
      </w:r>
    </w:p>
    <w:p>
      <w:pPr>
        <w:shd w:fill="15102A" w:color="auto" w:val="clear"/>
        <w:spacing w:after="0" w:before="0" w:line="252"/>
        <w:ind w:left="120" w:right="120"/>
      </w:pPr>
      <w:r>
        <w:rPr>
          <w:rFonts w:ascii="Consolas" w:cs="Consolas" w:eastAsia="Consolas" w:hAnsi="Consolas"/>
          <w:color w:val="E9E6F5"/>
          <w:sz w:val="16"/>
          <w:szCs w:val="16"/>
        </w:rPr>
        <w:t xml:space="preserve"> </w:t>
      </w:r>
    </w:p>
    <w:p>
      <w:pPr>
        <w:shd w:fill="15102A" w:color="auto" w:val="clear"/>
        <w:spacing w:after="0" w:before="0" w:line="252"/>
        <w:ind w:left="120" w:right="120"/>
      </w:pPr>
      <w:r>
        <w:rPr>
          <w:rFonts w:ascii="Consolas" w:cs="Consolas" w:eastAsia="Consolas" w:hAnsi="Consolas"/>
          <w:color w:val="E9E6F5"/>
          <w:sz w:val="16"/>
          <w:szCs w:val="16"/>
        </w:rPr>
        <w:t xml:space="preserve">    function _beforeSwap(address router, PoolKey calldata key,</w:t>
      </w:r>
    </w:p>
    <w:p>
      <w:pPr>
        <w:shd w:fill="15102A" w:color="auto" w:val="clear"/>
        <w:spacing w:after="0" w:before="0" w:line="252"/>
        <w:ind w:left="120" w:right="120"/>
      </w:pPr>
      <w:r>
        <w:rPr>
          <w:rFonts w:ascii="Consolas" w:cs="Consolas" w:eastAsia="Consolas" w:hAnsi="Consolas"/>
          <w:color w:val="E9E6F5"/>
          <w:sz w:val="16"/>
          <w:szCs w:val="16"/>
        </w:rPr>
        <w:t xml:space="preserve">        SwapParams calldata params, bytes calldata hookData)</w:t>
      </w:r>
    </w:p>
    <w:p>
      <w:pPr>
        <w:shd w:fill="15102A" w:color="auto" w:val="clear"/>
        <w:spacing w:after="0" w:before="0" w:line="252"/>
        <w:ind w:left="120" w:right="120"/>
      </w:pPr>
      <w:r>
        <w:rPr>
          <w:rFonts w:ascii="Consolas" w:cs="Consolas" w:eastAsia="Consolas" w:hAnsi="Consolas"/>
          <w:color w:val="E9E6F5"/>
          <w:sz w:val="16"/>
          <w:szCs w:val="16"/>
        </w:rPr>
        <w:t xml:space="preserve">        internal override returns (bytes4, BeforeSwapDelta, uint24)</w:t>
      </w:r>
    </w:p>
    <w:p>
      <w:pPr>
        <w:shd w:fill="15102A" w:color="auto" w:val="clear"/>
        <w:spacing w:after="0" w:before="0" w:line="252"/>
        <w:ind w:left="120" w:right="120"/>
      </w:pPr>
      <w:r>
        <w:rPr>
          <w:rFonts w:ascii="Consolas" w:cs="Consolas" w:eastAsia="Consolas" w:hAnsi="Consolas"/>
          <w:color w:val="E9E6F5"/>
          <w:sz w:val="16"/>
          <w:szCs w:val="16"/>
        </w:rPr>
        <w:t xml:space="preserve">    {</w:t>
      </w:r>
    </w:p>
    <w:p>
      <w:pPr>
        <w:shd w:fill="15102A" w:color="auto" w:val="clear"/>
        <w:spacing w:after="0" w:before="0" w:line="252"/>
        <w:ind w:left="120" w:right="120"/>
      </w:pPr>
      <w:r>
        <w:rPr>
          <w:rFonts w:ascii="Consolas" w:cs="Consolas" w:eastAsia="Consolas" w:hAnsi="Consolas"/>
          <w:color w:val="E9E6F5"/>
          <w:sz w:val="16"/>
          <w:szCs w:val="16"/>
        </w:rPr>
        <w:t xml:space="preserve">        // trader = allowlisted router's msgSender() or a signed hookData</w:t>
      </w:r>
    </w:p>
    <w:p>
      <w:pPr>
        <w:shd w:fill="15102A" w:color="auto" w:val="clear"/>
        <w:spacing w:after="0" w:before="0" w:line="252"/>
        <w:ind w:left="120" w:right="120"/>
      </w:pPr>
      <w:r>
        <w:rPr>
          <w:rFonts w:ascii="Consolas" w:cs="Consolas" w:eastAsia="Consolas" w:hAnsi="Consolas"/>
          <w:color w:val="E9E6F5"/>
          <w:sz w:val="16"/>
          <w:szCs w:val="16"/>
        </w:rPr>
        <w:t xml:space="preserve">        address trader = _verifiedTrader(router, hookData);</w:t>
      </w:r>
    </w:p>
    <w:p>
      <w:pPr>
        <w:shd w:fill="15102A" w:color="auto" w:val="clear"/>
        <w:spacing w:after="0" w:before="0" w:line="252"/>
        <w:ind w:left="120" w:right="120"/>
      </w:pPr>
      <w:r>
        <w:rPr>
          <w:rFonts w:ascii="Consolas" w:cs="Consolas" w:eastAsia="Consolas" w:hAnsi="Consolas"/>
          <w:color w:val="E9E6F5"/>
          <w:sz w:val="16"/>
          <w:szCs w:val="16"/>
        </w:rPr>
        <w:t xml:space="preserve">        _launchGuard(trader, params);</w:t>
      </w:r>
    </w:p>
    <w:p>
      <w:pPr>
        <w:shd w:fill="15102A" w:color="auto" w:val="clear"/>
        <w:spacing w:after="0" w:before="0" w:line="252"/>
        <w:ind w:left="120" w:right="120"/>
      </w:pPr>
      <w:r>
        <w:rPr>
          <w:rFonts w:ascii="Consolas" w:cs="Consolas" w:eastAsia="Consolas" w:hAnsi="Consolas"/>
          <w:color w:val="E9E6F5"/>
          <w:sz w:val="16"/>
          <w:szCs w:val="16"/>
        </w:rPr>
        <w:t xml:space="preserve">        // base + launch decay + surcharges, never above MAX_LP_FEE</w:t>
      </w:r>
    </w:p>
    <w:p>
      <w:pPr>
        <w:shd w:fill="15102A" w:color="auto" w:val="clear"/>
        <w:spacing w:after="0" w:before="0" w:line="252"/>
        <w:ind w:left="120" w:right="120"/>
      </w:pPr>
      <w:r>
        <w:rPr>
          <w:rFonts w:ascii="Consolas" w:cs="Consolas" w:eastAsia="Consolas" w:hAnsi="Consolas"/>
          <w:color w:val="E9E6F5"/>
          <w:sz w:val="16"/>
          <w:szCs w:val="16"/>
        </w:rPr>
        <w:t xml:space="preserve">        uint24 fee = _dynamicFee(key, params.zeroForOne);</w:t>
      </w:r>
    </w:p>
    <w:p>
      <w:pPr>
        <w:shd w:fill="15102A" w:color="auto" w:val="clear"/>
        <w:spacing w:after="0" w:before="0" w:line="252"/>
        <w:ind w:left="120" w:right="120"/>
      </w:pPr>
      <w:r>
        <w:rPr>
          <w:rFonts w:ascii="Consolas" w:cs="Consolas" w:eastAsia="Consolas" w:hAnsi="Consolas"/>
          <w:color w:val="E9E6F5"/>
          <w:sz w:val="16"/>
          <w:szCs w:val="16"/>
        </w:rPr>
        <w:t xml:space="preserve">        return (this.beforeSwap.selector, BeforeSwapDeltaLibrary.ZERO_DELTA,</w:t>
      </w:r>
    </w:p>
    <w:p>
      <w:pPr>
        <w:shd w:fill="15102A" w:color="auto" w:val="clear"/>
        <w:spacing w:after="0" w:before="0" w:line="252"/>
        <w:ind w:left="120" w:right="120"/>
      </w:pPr>
      <w:r>
        <w:rPr>
          <w:rFonts w:ascii="Consolas" w:cs="Consolas" w:eastAsia="Consolas" w:hAnsi="Consolas"/>
          <w:color w:val="E9E6F5"/>
          <w:sz w:val="16"/>
          <w:szCs w:val="16"/>
        </w:rPr>
        <w:t xml:space="preserve">                fee | LPFeeLibrary.OVERRIDE_FEE_FLAG);</w:t>
      </w:r>
    </w:p>
    <w:p>
      <w:pPr>
        <w:shd w:fill="15102A" w:color="auto" w:val="clear"/>
        <w:spacing w:after="0" w:before="0" w:line="252"/>
        <w:ind w:left="120" w:right="120"/>
      </w:pPr>
      <w:r>
        <w:rPr>
          <w:rFonts w:ascii="Consolas" w:cs="Consolas" w:eastAsia="Consolas" w:hAnsi="Consolas"/>
          <w:color w:val="E9E6F5"/>
          <w:sz w:val="16"/>
          <w:szCs w:val="16"/>
        </w:rPr>
        <w:t xml:space="preserve">    }</w:t>
      </w:r>
    </w:p>
    <w:p>
      <w:pPr>
        <w:shd w:fill="15102A" w:color="auto" w:val="clear"/>
        <w:spacing w:after="0" w:before="0" w:line="252"/>
        <w:ind w:left="120" w:right="120"/>
      </w:pPr>
      <w:r>
        <w:rPr>
          <w:rFonts w:ascii="Consolas" w:cs="Consolas" w:eastAsia="Consolas" w:hAnsi="Consolas"/>
          <w:color w:val="E9E6F5"/>
          <w:sz w:val="16"/>
          <w:szCs w:val="16"/>
        </w:rPr>
        <w:t xml:space="preserve"> </w:t>
      </w:r>
    </w:p>
    <w:p>
      <w:pPr>
        <w:shd w:fill="15102A" w:color="auto" w:val="clear"/>
        <w:spacing w:after="0" w:before="0" w:line="252"/>
        <w:ind w:left="120" w:right="120"/>
      </w:pPr>
      <w:r>
        <w:rPr>
          <w:rFonts w:ascii="Consolas" w:cs="Consolas" w:eastAsia="Consolas" w:hAnsi="Consolas"/>
          <w:color w:val="E9E6F5"/>
          <w:sz w:val="16"/>
          <w:szCs w:val="16"/>
        </w:rPr>
        <w:t xml:space="preserve">    function _afterSwap(address router, PoolKey calldata key,</w:t>
      </w:r>
    </w:p>
    <w:p>
      <w:pPr>
        <w:shd w:fill="15102A" w:color="auto" w:val="clear"/>
        <w:spacing w:after="0" w:before="0" w:line="252"/>
        <w:ind w:left="120" w:right="120"/>
      </w:pPr>
      <w:r>
        <w:rPr>
          <w:rFonts w:ascii="Consolas" w:cs="Consolas" w:eastAsia="Consolas" w:hAnsi="Consolas"/>
          <w:color w:val="E9E6F5"/>
          <w:sz w:val="16"/>
          <w:szCs w:val="16"/>
        </w:rPr>
        <w:t xml:space="preserve">        SwapParams calldata params, BalanceDelta delta,</w:t>
      </w:r>
    </w:p>
    <w:p>
      <w:pPr>
        <w:shd w:fill="15102A" w:color="auto" w:val="clear"/>
        <w:spacing w:after="0" w:before="0" w:line="252"/>
        <w:ind w:left="120" w:right="120"/>
      </w:pPr>
      <w:r>
        <w:rPr>
          <w:rFonts w:ascii="Consolas" w:cs="Consolas" w:eastAsia="Consolas" w:hAnsi="Consolas"/>
          <w:color w:val="E9E6F5"/>
          <w:sz w:val="16"/>
          <w:szCs w:val="16"/>
        </w:rPr>
        <w:t xml:space="preserve">        bytes calldata hookData)</w:t>
      </w:r>
    </w:p>
    <w:p>
      <w:pPr>
        <w:shd w:fill="15102A" w:color="auto" w:val="clear"/>
        <w:spacing w:after="0" w:before="0" w:line="252"/>
        <w:ind w:left="120" w:right="120"/>
      </w:pPr>
      <w:r>
        <w:rPr>
          <w:rFonts w:ascii="Consolas" w:cs="Consolas" w:eastAsia="Consolas" w:hAnsi="Consolas"/>
          <w:color w:val="E9E6F5"/>
          <w:sz w:val="16"/>
          <w:szCs w:val="16"/>
        </w:rPr>
        <w:t xml:space="preserve">        internal override returns (bytes4, int128)</w:t>
      </w:r>
    </w:p>
    <w:p>
      <w:pPr>
        <w:shd w:fill="15102A" w:color="auto" w:val="clear"/>
        <w:spacing w:after="0" w:before="0" w:line="252"/>
        <w:ind w:left="120" w:right="120"/>
      </w:pPr>
      <w:r>
        <w:rPr>
          <w:rFonts w:ascii="Consolas" w:cs="Consolas" w:eastAsia="Consolas" w:hAnsi="Consolas"/>
          <w:color w:val="E9E6F5"/>
          <w:sz w:val="16"/>
          <w:szCs w:val="16"/>
        </w:rPr>
        <w:t xml:space="preserve">    {</w:t>
      </w:r>
    </w:p>
    <w:p>
      <w:pPr>
        <w:shd w:fill="15102A" w:color="auto" w:val="clear"/>
        <w:spacing w:after="0" w:before="0" w:line="252"/>
        <w:ind w:left="120" w:right="120"/>
      </w:pPr>
      <w:r>
        <w:rPr>
          <w:rFonts w:ascii="Consolas" w:cs="Consolas" w:eastAsia="Consolas" w:hAnsi="Consolas"/>
          <w:color w:val="E9E6F5"/>
          <w:sz w:val="16"/>
          <w:szCs w:val="16"/>
        </w:rPr>
        <w:t xml:space="preserve">        (Currency feeCcy, uint256 out) = _unspecified(key, params, delta);</w:t>
      </w:r>
    </w:p>
    <w:p>
      <w:pPr>
        <w:shd w:fill="15102A" w:color="auto" w:val="clear"/>
        <w:spacing w:after="0" w:before="0" w:line="252"/>
        <w:ind w:left="120" w:right="120"/>
      </w:pPr>
      <w:r>
        <w:rPr>
          <w:rFonts w:ascii="Consolas" w:cs="Consolas" w:eastAsia="Consolas" w:hAnsi="Consolas"/>
          <w:color w:val="E9E6F5"/>
          <w:sz w:val="16"/>
          <w:szCs w:val="16"/>
        </w:rPr>
        <w:t xml:space="preserve">        // protocol fee after the holder discount, kept as ERC-6909 claims</w:t>
      </w:r>
    </w:p>
    <w:p>
      <w:pPr>
        <w:shd w:fill="15102A" w:color="auto" w:val="clear"/>
        <w:spacing w:after="0" w:before="0" w:line="252"/>
        <w:ind w:left="120" w:right="120"/>
      </w:pPr>
      <w:r>
        <w:rPr>
          <w:rFonts w:ascii="Consolas" w:cs="Consolas" w:eastAsia="Consolas" w:hAnsi="Consolas"/>
          <w:color w:val="E9E6F5"/>
          <w:sz w:val="16"/>
          <w:szCs w:val="16"/>
        </w:rPr>
        <w:t xml:space="preserve">        uint256 fee = out * _protocolFee(router, hookData) / 1_000_000;</w:t>
      </w:r>
    </w:p>
    <w:p>
      <w:pPr>
        <w:shd w:fill="15102A" w:color="auto" w:val="clear"/>
        <w:spacing w:after="0" w:before="0" w:line="252"/>
        <w:ind w:left="120" w:right="120"/>
      </w:pPr>
      <w:r>
        <w:rPr>
          <w:rFonts w:ascii="Consolas" w:cs="Consolas" w:eastAsia="Consolas" w:hAnsi="Consolas"/>
          <w:color w:val="E9E6F5"/>
          <w:sz w:val="16"/>
          <w:szCs w:val="16"/>
        </w:rPr>
        <w:t xml:space="preserve">        poolManager.mint(address(this), feeCcy.toId(), fee);</w:t>
      </w:r>
    </w:p>
    <w:p>
      <w:pPr>
        <w:shd w:fill="15102A" w:color="auto" w:val="clear"/>
        <w:spacing w:after="0" w:before="0" w:line="252"/>
        <w:ind w:left="120" w:right="120"/>
      </w:pPr>
      <w:r>
        <w:rPr>
          <w:rFonts w:ascii="Consolas" w:cs="Consolas" w:eastAsia="Consolas" w:hAnsi="Consolas"/>
          <w:color w:val="E9E6F5"/>
          <w:sz w:val="16"/>
          <w:szCs w:val="16"/>
        </w:rPr>
        <w:t xml:space="preserve">        _creditReferrer(router, hookData, feeCcy, fee);</w:t>
      </w:r>
    </w:p>
    <w:p>
      <w:pPr>
        <w:shd w:fill="15102A" w:color="auto" w:val="clear"/>
        <w:spacing w:after="0" w:before="0" w:line="252"/>
        <w:ind w:left="120" w:right="120"/>
      </w:pPr>
      <w:r>
        <w:rPr>
          <w:rFonts w:ascii="Consolas" w:cs="Consolas" w:eastAsia="Consolas" w:hAnsi="Consolas"/>
          <w:color w:val="E9E6F5"/>
          <w:sz w:val="16"/>
          <w:szCs w:val="16"/>
        </w:rPr>
        <w:t xml:space="preserve">        _emitSwapXP(router, hookData, key, delta);</w:t>
      </w:r>
    </w:p>
    <w:p>
      <w:pPr>
        <w:shd w:fill="15102A" w:color="auto" w:val="clear"/>
        <w:spacing w:after="0" w:before="0" w:line="252"/>
        <w:ind w:left="120" w:right="120"/>
      </w:pPr>
      <w:r>
        <w:rPr>
          <w:rFonts w:ascii="Consolas" w:cs="Consolas" w:eastAsia="Consolas" w:hAnsi="Consolas"/>
          <w:color w:val="E9E6F5"/>
          <w:sz w:val="16"/>
          <w:szCs w:val="16"/>
        </w:rPr>
        <w:t xml:space="preserve">        _observe(key);</w:t>
      </w:r>
    </w:p>
    <w:p>
      <w:pPr>
        <w:shd w:fill="15102A" w:color="auto" w:val="clear"/>
        <w:spacing w:after="0" w:before="0" w:line="252"/>
        <w:ind w:left="120" w:right="120"/>
      </w:pPr>
      <w:r>
        <w:rPr>
          <w:rFonts w:ascii="Consolas" w:cs="Consolas" w:eastAsia="Consolas" w:hAnsi="Consolas"/>
          <w:color w:val="E9E6F5"/>
          <w:sz w:val="16"/>
          <w:szCs w:val="16"/>
        </w:rPr>
        <w:t xml:space="preserve">        return (this.afterSwap.selector, int128(int256(fee)));</w:t>
      </w:r>
    </w:p>
    <w:p>
      <w:pPr>
        <w:shd w:fill="15102A" w:color="auto" w:val="clear"/>
        <w:spacing w:after="0" w:before="0" w:line="252"/>
        <w:ind w:left="120" w:right="120"/>
      </w:pPr>
      <w:r>
        <w:rPr>
          <w:rFonts w:ascii="Consolas" w:cs="Consolas" w:eastAsia="Consolas" w:hAnsi="Consolas"/>
          <w:color w:val="E9E6F5"/>
          <w:sz w:val="16"/>
          <w:szCs w:val="16"/>
        </w:rPr>
        <w:t xml:space="preserve">    }</w:t>
      </w:r>
    </w:p>
    <w:p>
      <w:pPr>
        <w:shd w:fill="15102A" w:color="auto" w:val="clear"/>
        <w:spacing w:after="200" w:before="0" w:line="252"/>
        <w:ind w:left="120" w:right="120"/>
      </w:pPr>
      <w:r>
        <w:rPr>
          <w:rFonts w:ascii="Consolas" w:cs="Consolas" w:eastAsia="Consolas" w:hAnsi="Consolas"/>
          <w:color w:val="E9E6F5"/>
          <w:sz w:val="16"/>
          <w:szCs w:val="16"/>
        </w:rPr>
        <w:t xml:space="preserve">}</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E587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E5876"/>
        <w:sz w:val="16"/>
        <w:szCs w:val="16"/>
      </w:rPr>
      <w:t xml:space="preserve">CYBERHOOD Genesis Economy · Litepaper v2.0 · Draft for review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40" w:hanging="300"/>
      </w:pPr>
      <w:rPr>
        <w:color w:val="E0207A"/>
      </w:rPr>
    </w:lvl>
  </w:abstractNum>
  <w:abstractNum w:abstractNumId="3" w15:restartNumberingAfterBreak="0">
    <w:multiLevelType w:val="hybridMultilevel"/>
    <w:lvl w:ilvl="0" w15:tentative="1">
      <w:start w:val="1"/>
      <w:numFmt w:val="decimal"/>
      <w:lvlText w:val="%1."/>
      <w:lvlJc w:val="left"/>
      <w:pPr>
        <w:ind w:left="440" w:hanging="340"/>
      </w:pPr>
      <w:rPr>
        <w:b/>
        <w:bCs/>
        <w:color w:val="E0207A"/>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53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E0207A" w:sz="12" w:space="6"/>
      </w:pBdr>
      <w:spacing w:after="180" w:before="360"/>
      <w:outlineLvl w:val="0"/>
    </w:pPr>
    <w:rPr>
      <w:rFonts w:ascii="Arial" w:cs="Arial" w:eastAsia="Arial" w:hAnsi="Arial"/>
      <w:b/>
      <w:bCs/>
      <w:color w:val="1B1530"/>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2B1F55"/>
      <w:sz w:val="27"/>
      <w:szCs w:val="27"/>
    </w:rPr>
  </w:style>
  <w:style w:type="paragraph" w:styleId="Heading3">
    <w:name w:val="Heading 3"/>
    <w:basedOn w:val="Normal"/>
    <w:next w:val="Normal"/>
    <w:qFormat/>
    <w:pPr>
      <w:spacing w:after="100" w:before="220"/>
      <w:outlineLvl w:val="2"/>
    </w:pPr>
    <w:rPr>
      <w:rFonts w:ascii="Arial" w:cs="Arial" w:eastAsia="Arial" w:hAnsi="Arial"/>
      <w:b/>
      <w:bCs/>
      <w:color w:val="0AA5B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baf7004002d5ff56fb3e831869a891b2fee1a23.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CYBERHOOD Genesis Economy — The $CYBERHOOD token, the Genesis NFTs and the HoodHook on Uniswap v4</dc:title>
  <dc:creator>CYBERHOOD</dc:creator>
  <dc:description>Litepaper v2.0 · Draft for review</dc:description>
  <cp:lastModifiedBy>Un-named</cp:lastModifiedBy>
  <cp:revision>1</cp:revision>
  <dcterms:created xsi:type="dcterms:W3CDTF">2026-10-27T15:25:44.546Z</dcterms:created>
  <dcterms:modified xsi:type="dcterms:W3CDTF">2026-10-27T15:25:44.546Z</dcterms:modified>
</cp:coreProperties>
</file>

<file path=docProps/custom.xml><?xml version="1.0" encoding="utf-8"?>
<Properties xmlns="http://schemas.openxmlformats.org/officeDocument/2006/custom-properties" xmlns:vt="http://schemas.openxmlformats.org/officeDocument/2006/docPropsVTypes"/>
</file>